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D6499" w14:textId="77777777" w:rsidR="00B03BC2" w:rsidRDefault="004B0D23">
      <w:pPr>
        <w:pStyle w:val="Body"/>
        <w:widowControl w:val="0"/>
        <w:jc w:val="center"/>
        <w:rPr>
          <w:rFonts w:ascii="Bodoni MT Black" w:eastAsia="Bodoni MT Black" w:hAnsi="Bodoni MT Black" w:cs="Bodoni MT Black"/>
          <w:b/>
          <w:bCs/>
          <w:sz w:val="30"/>
          <w:szCs w:val="30"/>
          <w:u w:val="single"/>
        </w:rPr>
      </w:pPr>
      <w:r>
        <w:rPr>
          <w:rFonts w:ascii="Bodoni MT Black" w:eastAsia="Bodoni MT Black" w:hAnsi="Bodoni MT Black" w:cs="Bodoni MT Black"/>
          <w:b/>
          <w:bCs/>
          <w:sz w:val="30"/>
          <w:szCs w:val="30"/>
          <w:u w:val="single"/>
        </w:rPr>
        <w:t xml:space="preserve">Massachusetts Alliance Against Predatory Lending </w:t>
      </w:r>
    </w:p>
    <w:p w14:paraId="11890C24" w14:textId="77777777" w:rsidR="00B03BC2" w:rsidRDefault="004B0D23">
      <w:pPr>
        <w:pStyle w:val="Body"/>
        <w:widowControl w:val="0"/>
        <w:jc w:val="center"/>
        <w:rPr>
          <w:rFonts w:ascii="Bodoni MT Black" w:eastAsia="Bodoni MT Black" w:hAnsi="Bodoni MT Black" w:cs="Bodoni MT Black"/>
          <w:b/>
          <w:bCs/>
          <w:sz w:val="30"/>
          <w:szCs w:val="30"/>
        </w:rPr>
      </w:pPr>
      <w:r>
        <w:rPr>
          <w:rFonts w:ascii="Bodoni MT Black" w:eastAsia="Bodoni MT Black" w:hAnsi="Bodoni MT Black" w:cs="Bodoni MT Black"/>
          <w:b/>
          <w:bCs/>
          <w:sz w:val="30"/>
          <w:szCs w:val="30"/>
        </w:rPr>
        <w:t>Member Group Priorities</w:t>
      </w:r>
    </w:p>
    <w:p w14:paraId="51A36A4A" w14:textId="77777777" w:rsidR="00B03BC2" w:rsidRPr="009A7FF5" w:rsidRDefault="00B03BC2">
      <w:pPr>
        <w:pStyle w:val="Body"/>
        <w:widowControl w:val="0"/>
        <w:jc w:val="center"/>
        <w:rPr>
          <w:rFonts w:ascii="Bodoni SvtyTwo ITC TT-Bold" w:eastAsia="Bodoni SvtyTwo ITC TT-Bold" w:hAnsi="Bodoni SvtyTwo ITC TT-Bold" w:cs="Bodoni SvtyTwo ITC TT-Bold"/>
          <w:sz w:val="20"/>
          <w:szCs w:val="20"/>
        </w:rPr>
      </w:pPr>
    </w:p>
    <w:p w14:paraId="05316EFB" w14:textId="77777777" w:rsidR="00B03BC2" w:rsidRDefault="004B0D23">
      <w:pPr>
        <w:pStyle w:val="Body"/>
        <w:pBdr>
          <w:top w:val="single" w:sz="4" w:space="0" w:color="000000"/>
          <w:left w:val="single" w:sz="4" w:space="0" w:color="000000"/>
          <w:bottom w:val="single" w:sz="4" w:space="0" w:color="000000"/>
          <w:right w:val="single" w:sz="4" w:space="0" w:color="000000"/>
        </w:pBdr>
        <w:shd w:val="clear" w:color="auto" w:fill="E6E6E6"/>
        <w:jc w:val="center"/>
        <w:rPr>
          <w:rFonts w:ascii="Bodoni MT Black" w:eastAsia="Bodoni MT Black" w:hAnsi="Bodoni MT Black" w:cs="Bodoni MT Black"/>
          <w:b/>
          <w:bCs/>
        </w:rPr>
      </w:pPr>
      <w:r>
        <w:rPr>
          <w:rFonts w:ascii="Bodoni MT Black" w:eastAsia="Bodoni MT Black" w:hAnsi="Bodoni MT Black" w:cs="Bodoni MT Black"/>
          <w:b/>
          <w:bCs/>
          <w:sz w:val="28"/>
          <w:szCs w:val="28"/>
        </w:rPr>
        <w:t>20</w:t>
      </w:r>
      <w:r>
        <w:rPr>
          <w:rFonts w:ascii="Bodoni MT Black" w:eastAsia="Bodoni MT Black" w:hAnsi="Bodoni MT Black" w:cs="Bodoni MT Black"/>
          <w:b/>
          <w:bCs/>
          <w:sz w:val="28"/>
          <w:szCs w:val="28"/>
          <w:u w:color="FF0000"/>
        </w:rPr>
        <w:t>20</w:t>
      </w:r>
      <w:r>
        <w:rPr>
          <w:rFonts w:ascii="Bodoni MT Black" w:eastAsia="Bodoni MT Black" w:hAnsi="Bodoni MT Black" w:cs="Bodoni MT Black"/>
          <w:b/>
          <w:bCs/>
          <w:sz w:val="28"/>
          <w:szCs w:val="28"/>
        </w:rPr>
        <w:t xml:space="preserve"> MORTGAGING &amp; FORECLOSURE LEGISLATION</w:t>
      </w:r>
    </w:p>
    <w:p w14:paraId="547B3B58" w14:textId="77777777" w:rsidR="00B03BC2" w:rsidRDefault="00B03BC2">
      <w:pPr>
        <w:pStyle w:val="Body"/>
        <w:widowControl w:val="0"/>
        <w:rPr>
          <w:rFonts w:ascii="Bodoni MT Black" w:eastAsia="Bodoni MT Black" w:hAnsi="Bodoni MT Black" w:cs="Bodoni MT Black"/>
          <w:b/>
          <w:bCs/>
        </w:rPr>
        <w:sectPr w:rsidR="00B03BC2">
          <w:headerReference w:type="default" r:id="rId8"/>
          <w:footerReference w:type="default" r:id="rId9"/>
          <w:pgSz w:w="12240" w:h="15840"/>
          <w:pgMar w:top="720" w:right="1080" w:bottom="1008" w:left="1080" w:header="720" w:footer="720" w:gutter="0"/>
          <w:cols w:space="720"/>
        </w:sectPr>
      </w:pPr>
    </w:p>
    <w:p w14:paraId="16A08699" w14:textId="77777777" w:rsidR="00B03BC2" w:rsidRDefault="00B03BC2">
      <w:pPr>
        <w:pStyle w:val="Body"/>
        <w:widowControl w:val="0"/>
        <w:rPr>
          <w:rFonts w:ascii="Arial" w:eastAsia="Arial" w:hAnsi="Arial" w:cs="Arial"/>
          <w:b/>
          <w:bCs/>
        </w:rPr>
      </w:pPr>
    </w:p>
    <w:p w14:paraId="27585714" w14:textId="77777777" w:rsidR="00B03BC2" w:rsidRDefault="004B0D23">
      <w:pPr>
        <w:pStyle w:val="Body"/>
        <w:rPr>
          <w:rFonts w:ascii="Arial" w:eastAsia="Arial" w:hAnsi="Arial" w:cs="Arial"/>
          <w:b/>
          <w:bCs/>
        </w:rPr>
      </w:pPr>
      <w:r>
        <w:rPr>
          <w:noProof/>
        </w:rPr>
        <w:drawing>
          <wp:inline distT="0" distB="0" distL="0" distR="0" wp14:anchorId="0285486F" wp14:editId="4E3868E5">
            <wp:extent cx="2964180" cy="2682240"/>
            <wp:effectExtent l="0" t="0" r="7620" b="3810"/>
            <wp:docPr id="1073741825"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311564A" w14:textId="77777777" w:rsidR="00426F05" w:rsidRPr="00426F05" w:rsidRDefault="00426F05">
      <w:pPr>
        <w:pStyle w:val="Body"/>
        <w:rPr>
          <w:i/>
          <w:iCs/>
          <w:sz w:val="8"/>
          <w:szCs w:val="8"/>
        </w:rPr>
      </w:pPr>
    </w:p>
    <w:p w14:paraId="4B27F4F4" w14:textId="77777777" w:rsidR="00B03BC2" w:rsidRDefault="004B0D23">
      <w:pPr>
        <w:pStyle w:val="Body"/>
        <w:rPr>
          <w:i/>
          <w:iCs/>
        </w:rPr>
      </w:pPr>
      <w:r>
        <w:rPr>
          <w:i/>
          <w:iCs/>
        </w:rPr>
        <w:t>74,048+ Massachusetts households</w:t>
      </w:r>
      <w:r>
        <w:rPr>
          <w:i/>
          <w:iCs/>
          <w:rtl/>
        </w:rPr>
        <w:t xml:space="preserve">’ </w:t>
      </w:r>
      <w:r>
        <w:rPr>
          <w:i/>
          <w:iCs/>
        </w:rPr>
        <w:t>foreclosures and resultant harms (from Warren Group data)</w:t>
      </w:r>
    </w:p>
    <w:p w14:paraId="56ED0497" w14:textId="77777777" w:rsidR="00B03BC2" w:rsidRDefault="004B0D23" w:rsidP="009A7FF5">
      <w:pPr>
        <w:pStyle w:val="Body"/>
        <w:widowControl w:val="0"/>
      </w:pPr>
      <w:r>
        <w:t xml:space="preserve">Overpriced mortgage payments were unsustain-able, especially once housing prices dropped. Evidence shows not only well-publicized, widespread </w:t>
      </w:r>
      <w:proofErr w:type="spellStart"/>
      <w:r>
        <w:t>robo</w:t>
      </w:r>
      <w:proofErr w:type="spellEnd"/>
      <w:r>
        <w:t xml:space="preserve">-signing, but </w:t>
      </w:r>
      <w:proofErr w:type="spellStart"/>
      <w:r>
        <w:rPr>
          <w:u w:color="FF0000"/>
          <w:lang w:val="fr-FR"/>
        </w:rPr>
        <w:t>mortgage</w:t>
      </w:r>
      <w:proofErr w:type="spellEnd"/>
      <w:r>
        <w:rPr>
          <w:u w:color="FF0000"/>
          <w:lang w:val="fr-FR"/>
        </w:rPr>
        <w:t xml:space="preserve"> </w:t>
      </w:r>
      <w:r>
        <w:t xml:space="preserve">originators who went out of business — with no legal transfer of their </w:t>
      </w:r>
      <w:r w:rsidR="009A7FF5">
        <w:t>loans, forged notes. Now we see</w:t>
      </w:r>
      <w:r>
        <w:rPr>
          <w:rtl/>
          <w:lang w:val="ar-SA"/>
        </w:rPr>
        <w:t xml:space="preserve"> “</w:t>
      </w:r>
      <w:r>
        <w:t xml:space="preserve">foreclosures” of all types of borrowers on unenforceable debt. </w:t>
      </w:r>
    </w:p>
    <w:p w14:paraId="5DD5FE6E" w14:textId="77777777" w:rsidR="00B03BC2" w:rsidRDefault="004B0D23" w:rsidP="009A7FF5">
      <w:pPr>
        <w:pStyle w:val="Body"/>
        <w:widowControl w:val="0"/>
      </w:pPr>
      <w:r>
        <w:rPr>
          <w:rFonts w:ascii="Arial Unicode MS" w:hAnsi="Arial Unicode MS"/>
        </w:rPr>
        <w:br w:type="column"/>
      </w:r>
    </w:p>
    <w:p w14:paraId="758E992D" w14:textId="77777777" w:rsidR="00B03BC2" w:rsidRDefault="004B0D23">
      <w:pPr>
        <w:pStyle w:val="Body"/>
        <w:widowControl w:val="0"/>
        <w:rPr>
          <w:rFonts w:ascii="Arial" w:eastAsia="Arial" w:hAnsi="Arial" w:cs="Arial"/>
          <w:b/>
          <w:bCs/>
        </w:rPr>
      </w:pPr>
      <w:r>
        <w:rPr>
          <w:rFonts w:ascii="Arial" w:hAnsi="Arial"/>
          <w:b/>
          <w:bCs/>
        </w:rPr>
        <w:t>We need fundamental solutions now!</w:t>
      </w:r>
    </w:p>
    <w:p w14:paraId="7A973DAB" w14:textId="77777777" w:rsidR="00B03BC2" w:rsidRDefault="004B0D23">
      <w:pPr>
        <w:pStyle w:val="Body"/>
        <w:widowControl w:val="0"/>
      </w:pPr>
      <w:r>
        <w:rPr>
          <w:b/>
          <w:bCs/>
          <w:i/>
          <w:iCs/>
          <w:u w:color="FF0000"/>
        </w:rPr>
        <w:t xml:space="preserve">2019 </w:t>
      </w:r>
      <w:r>
        <w:rPr>
          <w:b/>
          <w:bCs/>
          <w:i/>
          <w:iCs/>
        </w:rPr>
        <w:t xml:space="preserve">homeowner evidence shows banks chose a 2+ month moratorium in </w:t>
      </w:r>
      <w:r w:rsidR="00426F05">
        <w:rPr>
          <w:b/>
          <w:bCs/>
          <w:i/>
          <w:iCs/>
        </w:rPr>
        <w:t>our state</w:t>
      </w:r>
      <w:r>
        <w:rPr>
          <w:b/>
          <w:bCs/>
          <w:i/>
          <w:iCs/>
        </w:rPr>
        <w:t xml:space="preserve">; </w:t>
      </w:r>
      <w:r w:rsidR="00426F05">
        <w:rPr>
          <w:b/>
          <w:bCs/>
          <w:i/>
          <w:iCs/>
        </w:rPr>
        <w:t xml:space="preserve">but </w:t>
      </w:r>
      <w:r>
        <w:rPr>
          <w:b/>
          <w:bCs/>
          <w:i/>
          <w:iCs/>
        </w:rPr>
        <w:t>then pre-foreclosure notices doubled in 2nd half of 2019</w:t>
      </w:r>
      <w:r>
        <w:rPr>
          <w:lang w:val="ru-RU"/>
        </w:rPr>
        <w:t>!</w:t>
      </w:r>
    </w:p>
    <w:p w14:paraId="1725BFBC" w14:textId="77777777" w:rsidR="00B03BC2" w:rsidRDefault="00B03BC2">
      <w:pPr>
        <w:pStyle w:val="Body"/>
        <w:widowControl w:val="0"/>
        <w:rPr>
          <w:sz w:val="16"/>
          <w:szCs w:val="16"/>
        </w:rPr>
      </w:pPr>
    </w:p>
    <w:p w14:paraId="1E395775" w14:textId="77777777" w:rsidR="00B03BC2" w:rsidRDefault="004B0D23">
      <w:pPr>
        <w:pStyle w:val="Body"/>
      </w:pPr>
      <w:r>
        <w:t xml:space="preserve">While rampant subprime mortgage lending attracted worldwide investment, its incentivizing led to vastly overpriced homes with illegal originations ultimately doomed to fail! Massachusetts is still paying for the snowballing foreclosures and property losses this over-pricing and peaking of housing values produced. </w:t>
      </w:r>
      <w:r>
        <w:rPr>
          <w:i/>
          <w:iCs/>
        </w:rPr>
        <w:t>See this graph from the Boston Federal Reserve</w:t>
      </w:r>
      <w:r>
        <w:t>:</w:t>
      </w:r>
    </w:p>
    <w:p w14:paraId="18DCD3E9" w14:textId="77777777" w:rsidR="00B03BC2" w:rsidRPr="009A7FF5" w:rsidRDefault="00B03BC2">
      <w:pPr>
        <w:pStyle w:val="Body"/>
        <w:widowControl w:val="0"/>
        <w:rPr>
          <w:sz w:val="8"/>
          <w:szCs w:val="8"/>
        </w:rPr>
      </w:pPr>
    </w:p>
    <w:p w14:paraId="6ABA5228" w14:textId="77777777" w:rsidR="00B03BC2" w:rsidRDefault="004B0D23">
      <w:pPr>
        <w:pStyle w:val="Body"/>
        <w:widowControl w:val="0"/>
      </w:pPr>
      <w:r>
        <w:rPr>
          <w:rFonts w:ascii="Arial" w:eastAsia="Arial" w:hAnsi="Arial" w:cs="Arial"/>
          <w:b/>
          <w:bCs/>
          <w:noProof/>
        </w:rPr>
        <w:drawing>
          <wp:inline distT="0" distB="0" distL="0" distR="0" wp14:anchorId="651CF73A" wp14:editId="23455B57">
            <wp:extent cx="2876550" cy="2419350"/>
            <wp:effectExtent l="0" t="0" r="0" b="0"/>
            <wp:docPr id="1073741826" name="officeArt object" descr="Picture 4"/>
            <wp:cNvGraphicFramePr/>
            <a:graphic xmlns:a="http://schemas.openxmlformats.org/drawingml/2006/main">
              <a:graphicData uri="http://schemas.openxmlformats.org/drawingml/2006/picture">
                <pic:pic xmlns:pic="http://schemas.openxmlformats.org/drawingml/2006/picture">
                  <pic:nvPicPr>
                    <pic:cNvPr id="1073741826" name="Picture 4" descr="Picture 4"/>
                    <pic:cNvPicPr>
                      <a:picLocks noChangeAspect="1"/>
                    </pic:cNvPicPr>
                  </pic:nvPicPr>
                  <pic:blipFill>
                    <a:blip r:embed="rId11">
                      <a:extLst/>
                    </a:blip>
                    <a:stretch>
                      <a:fillRect/>
                    </a:stretch>
                  </pic:blipFill>
                  <pic:spPr>
                    <a:xfrm>
                      <a:off x="0" y="0"/>
                      <a:ext cx="2876550" cy="2419350"/>
                    </a:xfrm>
                    <a:prstGeom prst="rect">
                      <a:avLst/>
                    </a:prstGeom>
                    <a:ln w="12700" cap="flat">
                      <a:noFill/>
                      <a:miter lim="400000"/>
                    </a:ln>
                    <a:effectLst/>
                  </pic:spPr>
                </pic:pic>
              </a:graphicData>
            </a:graphic>
          </wp:inline>
        </w:drawing>
      </w:r>
    </w:p>
    <w:p w14:paraId="08EEB16F" w14:textId="77777777" w:rsidR="00B03BC2" w:rsidRDefault="00B03BC2">
      <w:pPr>
        <w:pStyle w:val="Body"/>
        <w:widowControl w:val="0"/>
        <w:sectPr w:rsidR="00B03BC2">
          <w:type w:val="continuous"/>
          <w:pgSz w:w="12240" w:h="15840"/>
          <w:pgMar w:top="720" w:right="1080" w:bottom="1008" w:left="1080" w:header="720" w:footer="720" w:gutter="0"/>
          <w:cols w:num="2" w:space="360"/>
        </w:sectPr>
      </w:pPr>
    </w:p>
    <w:p w14:paraId="4819AE30" w14:textId="77777777" w:rsidR="00B03BC2" w:rsidRDefault="004B0D23" w:rsidP="009A7FF5">
      <w:pPr>
        <w:pStyle w:val="Body"/>
        <w:widowControl w:val="0"/>
      </w:pPr>
      <w:r w:rsidRPr="009A7FF5">
        <w:rPr>
          <w:b/>
        </w:rPr>
        <w:t xml:space="preserve">Massachusetts can </w:t>
      </w:r>
      <w:r w:rsidRPr="009A7FF5">
        <w:rPr>
          <w:b/>
          <w:u w:color="FF0000"/>
        </w:rPr>
        <w:t>lead.</w:t>
      </w:r>
      <w:r>
        <w:rPr>
          <w:u w:color="FF0000"/>
        </w:rPr>
        <w:t xml:space="preserve"> We can </w:t>
      </w:r>
      <w:r>
        <w:t xml:space="preserve">provide the tools to unravel this mess – fairly and </w:t>
      </w:r>
      <w:r>
        <w:rPr>
          <w:u w:color="FF0000"/>
        </w:rPr>
        <w:t>while</w:t>
      </w:r>
      <w:r>
        <w:t xml:space="preserve"> return</w:t>
      </w:r>
      <w:r>
        <w:rPr>
          <w:u w:color="FF0000"/>
        </w:rPr>
        <w:t>ing</w:t>
      </w:r>
      <w:r>
        <w:t xml:space="preserve"> billions of dollars to our state. </w:t>
      </w:r>
      <w:r>
        <w:rPr>
          <w:b/>
          <w:bCs/>
        </w:rPr>
        <w:t>How</w:t>
      </w:r>
      <w:r w:rsidR="009A7FF5">
        <w:rPr>
          <w:b/>
          <w:bCs/>
        </w:rPr>
        <w:t>…</w:t>
      </w:r>
      <w:r>
        <w:rPr>
          <w:b/>
          <w:bCs/>
        </w:rPr>
        <w:t>?</w:t>
      </w:r>
    </w:p>
    <w:p w14:paraId="1C3C507D" w14:textId="77777777" w:rsidR="00B03BC2" w:rsidRPr="009A7FF5" w:rsidRDefault="00B03BC2" w:rsidP="009A7FF5">
      <w:pPr>
        <w:pStyle w:val="Body"/>
        <w:widowControl w:val="0"/>
        <w:rPr>
          <w:sz w:val="8"/>
          <w:szCs w:val="8"/>
        </w:rPr>
      </w:pPr>
    </w:p>
    <w:p w14:paraId="50E89836" w14:textId="77777777" w:rsidR="00B03BC2" w:rsidRDefault="004B0D23" w:rsidP="009A7FF5">
      <w:pPr>
        <w:pStyle w:val="ListParagraph"/>
        <w:widowControl w:val="0"/>
        <w:numPr>
          <w:ilvl w:val="0"/>
          <w:numId w:val="2"/>
        </w:numPr>
        <w:rPr>
          <w:rFonts w:ascii="Arial" w:hAnsi="Arial"/>
          <w:sz w:val="22"/>
          <w:szCs w:val="22"/>
        </w:rPr>
      </w:pPr>
      <w:r>
        <w:rPr>
          <w:rFonts w:ascii="Arial" w:hAnsi="Arial"/>
          <w:b/>
          <w:bCs/>
          <w:sz w:val="22"/>
          <w:szCs w:val="22"/>
        </w:rPr>
        <w:t xml:space="preserve">Require Pre-Foreclosure Mediation/Judicial Foreclosure, S868/H1482: Sen Collins, Rep Khan  </w:t>
      </w:r>
    </w:p>
    <w:p w14:paraId="0624306E" w14:textId="77777777" w:rsidR="00B03BC2" w:rsidRDefault="00B03BC2" w:rsidP="009A7FF5">
      <w:pPr>
        <w:pStyle w:val="Body"/>
        <w:widowControl w:val="0"/>
        <w:rPr>
          <w:rFonts w:ascii="Arial" w:eastAsia="Arial" w:hAnsi="Arial" w:cs="Arial"/>
          <w:sz w:val="4"/>
          <w:szCs w:val="4"/>
        </w:rPr>
      </w:pPr>
    </w:p>
    <w:p w14:paraId="35629326" w14:textId="77777777" w:rsidR="00B03BC2" w:rsidRDefault="004B0D23" w:rsidP="009A7FF5">
      <w:pPr>
        <w:pStyle w:val="Body"/>
        <w:widowControl w:val="0"/>
        <w:rPr>
          <w:rFonts w:ascii="Arial" w:eastAsia="Arial" w:hAnsi="Arial" w:cs="Arial"/>
          <w:sz w:val="20"/>
          <w:szCs w:val="20"/>
        </w:rPr>
      </w:pPr>
      <w:r w:rsidRPr="009A7FF5">
        <w:rPr>
          <w:rFonts w:ascii="Arial" w:hAnsi="Arial"/>
          <w:sz w:val="20"/>
          <w:szCs w:val="20"/>
        </w:rPr>
        <w:t xml:space="preserve">For two months around March of 2019, the Mortgage Industry had a statewide, voluntary (&amp; almost perfect) moratorium on </w:t>
      </w:r>
      <w:r w:rsidRPr="009A7FF5">
        <w:rPr>
          <w:rFonts w:ascii="Arial" w:hAnsi="Arial"/>
          <w:sz w:val="20"/>
          <w:szCs w:val="20"/>
          <w:u w:color="FF0000"/>
        </w:rPr>
        <w:t xml:space="preserve">foreclosure </w:t>
      </w:r>
      <w:r w:rsidRPr="009A7FF5">
        <w:rPr>
          <w:rFonts w:ascii="Arial" w:hAnsi="Arial"/>
          <w:sz w:val="20"/>
          <w:szCs w:val="20"/>
        </w:rPr>
        <w:t xml:space="preserve">auctions (homeowners figured out how to exercise their right to see the original mortgage </w:t>
      </w:r>
      <w:r w:rsidRPr="009A7FF5">
        <w:rPr>
          <w:rFonts w:ascii="Arial" w:hAnsi="Arial"/>
          <w:sz w:val="20"/>
          <w:szCs w:val="20"/>
          <w:u w:color="FF0000"/>
        </w:rPr>
        <w:t>Note</w:t>
      </w:r>
      <w:r w:rsidRPr="009A7FF5">
        <w:rPr>
          <w:rFonts w:ascii="Arial" w:hAnsi="Arial"/>
          <w:sz w:val="20"/>
          <w:szCs w:val="20"/>
        </w:rPr>
        <w:t xml:space="preserve"> pre-foreclosure – when 58 out of 60 </w:t>
      </w:r>
      <w:r w:rsidRPr="009A7FF5">
        <w:rPr>
          <w:rFonts w:ascii="Arial" w:hAnsi="Arial"/>
          <w:sz w:val="20"/>
          <w:szCs w:val="20"/>
          <w:u w:color="FF0000"/>
        </w:rPr>
        <w:t xml:space="preserve">Notes </w:t>
      </w:r>
      <w:r w:rsidRPr="009A7FF5">
        <w:rPr>
          <w:rFonts w:ascii="Arial" w:hAnsi="Arial"/>
          <w:sz w:val="20"/>
          <w:szCs w:val="20"/>
        </w:rPr>
        <w:t>viewed were forgeries). Ju</w:t>
      </w:r>
      <w:r>
        <w:rPr>
          <w:rFonts w:ascii="Arial" w:hAnsi="Arial"/>
          <w:sz w:val="20"/>
          <w:szCs w:val="20"/>
        </w:rPr>
        <w:t xml:space="preserve">st prior, this Bill was filed to stop all foreclosures where pre-foreclosure mediation has not been completed "in good faith," and </w:t>
      </w:r>
      <w:r>
        <w:rPr>
          <w:rFonts w:ascii="Arial" w:hAnsi="Arial"/>
          <w:sz w:val="20"/>
          <w:szCs w:val="20"/>
          <w:u w:color="FF0000"/>
        </w:rPr>
        <w:t>to allow</w:t>
      </w:r>
      <w:r>
        <w:rPr>
          <w:rFonts w:ascii="Arial" w:hAnsi="Arial"/>
          <w:sz w:val="20"/>
          <w:szCs w:val="20"/>
        </w:rPr>
        <w:t xml:space="preserve"> judicial foreclosure </w:t>
      </w:r>
      <w:r>
        <w:rPr>
          <w:rFonts w:ascii="Arial" w:hAnsi="Arial"/>
          <w:sz w:val="20"/>
          <w:szCs w:val="20"/>
          <w:u w:color="FF0000"/>
        </w:rPr>
        <w:t>only</w:t>
      </w:r>
      <w:r>
        <w:rPr>
          <w:rFonts w:ascii="Arial" w:hAnsi="Arial"/>
          <w:sz w:val="20"/>
          <w:szCs w:val="20"/>
        </w:rPr>
        <w:t>. The foreclosing party must provide legal documents proving it actually owns both</w:t>
      </w:r>
      <w:r>
        <w:rPr>
          <w:rFonts w:ascii="Arial" w:hAnsi="Arial"/>
          <w:sz w:val="20"/>
          <w:szCs w:val="20"/>
          <w:lang w:val="fr-FR"/>
        </w:rPr>
        <w:t xml:space="preserve"> </w:t>
      </w:r>
      <w:proofErr w:type="spellStart"/>
      <w:r>
        <w:rPr>
          <w:rFonts w:ascii="Arial" w:hAnsi="Arial"/>
          <w:sz w:val="20"/>
          <w:szCs w:val="20"/>
          <w:lang w:val="fr-FR"/>
        </w:rPr>
        <w:t>mortgage</w:t>
      </w:r>
      <w:proofErr w:type="spellEnd"/>
      <w:r>
        <w:rPr>
          <w:rFonts w:ascii="Arial" w:hAnsi="Arial"/>
          <w:sz w:val="20"/>
          <w:szCs w:val="20"/>
          <w:lang w:val="fr-FR"/>
        </w:rPr>
        <w:t xml:space="preserve"> </w:t>
      </w:r>
      <w:r>
        <w:rPr>
          <w:rFonts w:ascii="Arial" w:hAnsi="Arial"/>
          <w:sz w:val="20"/>
          <w:szCs w:val="20"/>
          <w:u w:color="FF0000"/>
        </w:rPr>
        <w:t xml:space="preserve">and Note, </w:t>
      </w:r>
      <w:r>
        <w:rPr>
          <w:rFonts w:ascii="Arial" w:hAnsi="Arial"/>
          <w:sz w:val="20"/>
          <w:szCs w:val="20"/>
        </w:rPr>
        <w:t xml:space="preserve">and send a representative with </w:t>
      </w:r>
      <w:r>
        <w:rPr>
          <w:rFonts w:ascii="Arial" w:hAnsi="Arial"/>
          <w:sz w:val="20"/>
          <w:szCs w:val="20"/>
          <w:u w:color="FF0000"/>
        </w:rPr>
        <w:t xml:space="preserve">full </w:t>
      </w:r>
      <w:r>
        <w:rPr>
          <w:rFonts w:ascii="Arial" w:hAnsi="Arial"/>
          <w:sz w:val="20"/>
          <w:szCs w:val="20"/>
        </w:rPr>
        <w:t xml:space="preserve">authority to negotiate settlements. When </w:t>
      </w:r>
      <w:r>
        <w:rPr>
          <w:rFonts w:ascii="Arial" w:hAnsi="Arial"/>
          <w:sz w:val="20"/>
          <w:szCs w:val="20"/>
          <w:u w:color="FF0000"/>
        </w:rPr>
        <w:t xml:space="preserve">the </w:t>
      </w:r>
      <w:r>
        <w:rPr>
          <w:rFonts w:ascii="Arial" w:hAnsi="Arial"/>
          <w:sz w:val="20"/>
          <w:szCs w:val="20"/>
        </w:rPr>
        <w:t>City of Lynn had such a mediation program, 97% of participants voluntarily negotiated an affordable loan modification.</w:t>
      </w:r>
    </w:p>
    <w:p w14:paraId="21B3F292" w14:textId="77777777" w:rsidR="00B03BC2" w:rsidRPr="009A7FF5" w:rsidRDefault="004B0D23" w:rsidP="009A7FF5">
      <w:pPr>
        <w:pStyle w:val="Body"/>
        <w:widowControl w:val="0"/>
        <w:tabs>
          <w:tab w:val="left" w:pos="2412"/>
        </w:tabs>
        <w:rPr>
          <w:rFonts w:ascii="Arial" w:eastAsia="Arial" w:hAnsi="Arial" w:cs="Arial"/>
          <w:sz w:val="8"/>
          <w:szCs w:val="8"/>
        </w:rPr>
      </w:pPr>
      <w:r>
        <w:rPr>
          <w:rFonts w:ascii="Arial" w:hAnsi="Arial"/>
          <w:sz w:val="16"/>
          <w:szCs w:val="16"/>
        </w:rPr>
        <w:t> </w:t>
      </w:r>
      <w:r w:rsidR="009A7FF5" w:rsidRPr="009A7FF5">
        <w:rPr>
          <w:rFonts w:ascii="Arial" w:hAnsi="Arial"/>
          <w:sz w:val="8"/>
          <w:szCs w:val="8"/>
        </w:rPr>
        <w:tab/>
      </w:r>
    </w:p>
    <w:p w14:paraId="0F6D95BF" w14:textId="77777777" w:rsidR="00B03BC2" w:rsidRDefault="004B0D23" w:rsidP="009A7FF5">
      <w:pPr>
        <w:pStyle w:val="Body"/>
        <w:widowControl w:val="0"/>
        <w:numPr>
          <w:ilvl w:val="0"/>
          <w:numId w:val="4"/>
        </w:numPr>
        <w:rPr>
          <w:rFonts w:ascii="Arial" w:hAnsi="Arial"/>
          <w:b/>
          <w:bCs/>
          <w:sz w:val="22"/>
          <w:szCs w:val="22"/>
        </w:rPr>
      </w:pPr>
      <w:r>
        <w:rPr>
          <w:rFonts w:ascii="Arial" w:hAnsi="Arial"/>
          <w:b/>
          <w:bCs/>
          <w:sz w:val="22"/>
          <w:szCs w:val="22"/>
        </w:rPr>
        <w:t>Foreclosure Review Division of Superior Court, S964/H3300: Sen. Kennedy &amp; Rep. Gonzalez</w:t>
      </w:r>
    </w:p>
    <w:p w14:paraId="7A167788" w14:textId="77777777" w:rsidR="00B03BC2" w:rsidRDefault="00B03BC2" w:rsidP="009A7FF5">
      <w:pPr>
        <w:pStyle w:val="Body"/>
        <w:widowControl w:val="0"/>
        <w:rPr>
          <w:rFonts w:ascii="Arial" w:eastAsia="Arial" w:hAnsi="Arial" w:cs="Arial"/>
          <w:sz w:val="4"/>
          <w:szCs w:val="4"/>
        </w:rPr>
      </w:pPr>
    </w:p>
    <w:p w14:paraId="4AF4909F" w14:textId="77777777" w:rsidR="00B03BC2" w:rsidRDefault="004B0D23" w:rsidP="009A7FF5">
      <w:pPr>
        <w:pStyle w:val="Body"/>
        <w:widowControl w:val="0"/>
        <w:rPr>
          <w:rFonts w:ascii="Arial" w:hAnsi="Arial"/>
          <w:sz w:val="20"/>
          <w:szCs w:val="20"/>
        </w:rPr>
      </w:pPr>
      <w:r>
        <w:rPr>
          <w:rFonts w:ascii="Arial" w:hAnsi="Arial"/>
          <w:sz w:val="20"/>
          <w:szCs w:val="20"/>
        </w:rPr>
        <w:t xml:space="preserve">This Bill establishes a statewide, specialized division of Superior Court to adjudicate all aspects of foreclosure-related cases, instead of several courts each now with partial jurisdiction. Housing Courts (without the time per case, nor applicable expertise nor jurisdiction) are ignoring settled law to rush illegally foreclosed </w:t>
      </w:r>
      <w:r>
        <w:rPr>
          <w:rFonts w:ascii="Arial" w:hAnsi="Arial"/>
          <w:sz w:val="20"/>
          <w:szCs w:val="20"/>
          <w:u w:color="FF0000"/>
          <w:lang w:val="da-DK"/>
        </w:rPr>
        <w:t xml:space="preserve">families </w:t>
      </w:r>
      <w:r>
        <w:rPr>
          <w:rFonts w:ascii="Arial" w:hAnsi="Arial"/>
          <w:sz w:val="20"/>
          <w:szCs w:val="20"/>
        </w:rPr>
        <w:t xml:space="preserve">out of their homes. This Division will be empowered to clear title for both those “foreclosed” and 3rd-party buyers, while providing on-line and other assistance to </w:t>
      </w:r>
      <w:r>
        <w:rPr>
          <w:rFonts w:ascii="Arial" w:hAnsi="Arial"/>
          <w:i/>
          <w:iCs/>
          <w:sz w:val="20"/>
          <w:szCs w:val="20"/>
        </w:rPr>
        <w:t xml:space="preserve">pro se </w:t>
      </w:r>
      <w:r>
        <w:rPr>
          <w:rFonts w:ascii="Arial" w:hAnsi="Arial"/>
          <w:sz w:val="20"/>
          <w:szCs w:val="20"/>
          <w:u w:color="FF0000"/>
        </w:rPr>
        <w:t xml:space="preserve">(self-represented) </w:t>
      </w:r>
      <w:r>
        <w:rPr>
          <w:rFonts w:ascii="Arial" w:hAnsi="Arial"/>
          <w:sz w:val="20"/>
          <w:szCs w:val="20"/>
        </w:rPr>
        <w:t>litigants. It will free up court dockets; promote judicial economy</w:t>
      </w:r>
      <w:r>
        <w:rPr>
          <w:rFonts w:ascii="Arial" w:hAnsi="Arial"/>
          <w:sz w:val="20"/>
          <w:szCs w:val="20"/>
          <w:u w:color="FF0000"/>
        </w:rPr>
        <w:t>; and restore clear title to illegally foreclosed homes, bolstering the real estate industry</w:t>
      </w:r>
      <w:r>
        <w:rPr>
          <w:rFonts w:ascii="Arial" w:hAnsi="Arial"/>
          <w:sz w:val="20"/>
          <w:szCs w:val="20"/>
        </w:rPr>
        <w:t xml:space="preserve">. </w:t>
      </w:r>
    </w:p>
    <w:p w14:paraId="235CF31D" w14:textId="77777777" w:rsidR="009A7FF5" w:rsidRPr="009A7FF5" w:rsidRDefault="009A7FF5" w:rsidP="009A7FF5">
      <w:pPr>
        <w:pStyle w:val="Body"/>
        <w:widowControl w:val="0"/>
        <w:rPr>
          <w:rFonts w:ascii="Arial" w:eastAsia="Arial" w:hAnsi="Arial" w:cs="Arial"/>
          <w:sz w:val="12"/>
          <w:szCs w:val="12"/>
        </w:rPr>
      </w:pPr>
    </w:p>
    <w:p w14:paraId="3FE760B9" w14:textId="77777777" w:rsidR="00B03BC2" w:rsidRDefault="004B0D23" w:rsidP="009A7FF5">
      <w:pPr>
        <w:pStyle w:val="ListParagraph"/>
        <w:widowControl w:val="0"/>
        <w:numPr>
          <w:ilvl w:val="0"/>
          <w:numId w:val="5"/>
        </w:numPr>
        <w:rPr>
          <w:rFonts w:ascii="Arial" w:hAnsi="Arial"/>
          <w:b/>
          <w:bCs/>
          <w:sz w:val="22"/>
          <w:szCs w:val="22"/>
        </w:rPr>
      </w:pPr>
      <w:r>
        <w:rPr>
          <w:rFonts w:ascii="Arial" w:hAnsi="Arial"/>
          <w:b/>
          <w:bCs/>
          <w:sz w:val="22"/>
          <w:szCs w:val="22"/>
        </w:rPr>
        <w:t>Tax Relief of Mortgage Debt, S1719/</w:t>
      </w:r>
      <w:r>
        <w:rPr>
          <w:rFonts w:ascii="Arial" w:hAnsi="Arial"/>
          <w:sz w:val="20"/>
          <w:szCs w:val="20"/>
        </w:rPr>
        <w:t xml:space="preserve"> </w:t>
      </w:r>
      <w:r>
        <w:rPr>
          <w:rFonts w:ascii="Arial" w:hAnsi="Arial"/>
          <w:b/>
          <w:bCs/>
          <w:sz w:val="22"/>
          <w:szCs w:val="22"/>
        </w:rPr>
        <w:t xml:space="preserve">H2550:  Sen. </w:t>
      </w:r>
      <w:proofErr w:type="spellStart"/>
      <w:r>
        <w:rPr>
          <w:rFonts w:ascii="Arial" w:hAnsi="Arial"/>
          <w:b/>
          <w:bCs/>
          <w:sz w:val="22"/>
          <w:szCs w:val="22"/>
        </w:rPr>
        <w:t>DiDomenico</w:t>
      </w:r>
      <w:proofErr w:type="spellEnd"/>
      <w:r>
        <w:rPr>
          <w:rFonts w:ascii="Arial" w:hAnsi="Arial"/>
          <w:b/>
          <w:bCs/>
          <w:sz w:val="22"/>
          <w:szCs w:val="22"/>
        </w:rPr>
        <w:t xml:space="preserve"> and Rep. Malia</w:t>
      </w:r>
    </w:p>
    <w:p w14:paraId="2A767419" w14:textId="77777777" w:rsidR="00B03BC2" w:rsidRDefault="00B03BC2" w:rsidP="009A7FF5">
      <w:pPr>
        <w:pStyle w:val="Body"/>
        <w:widowControl w:val="0"/>
        <w:rPr>
          <w:rFonts w:ascii="Arial" w:eastAsia="Arial" w:hAnsi="Arial" w:cs="Arial"/>
          <w:sz w:val="4"/>
          <w:szCs w:val="4"/>
        </w:rPr>
      </w:pPr>
    </w:p>
    <w:p w14:paraId="1D50A339" w14:textId="77777777" w:rsidR="00B03BC2" w:rsidRDefault="004B0D23" w:rsidP="009A7FF5">
      <w:pPr>
        <w:pStyle w:val="Body"/>
        <w:widowControl w:val="0"/>
        <w:rPr>
          <w:rFonts w:ascii="Arial" w:hAnsi="Arial"/>
          <w:sz w:val="20"/>
          <w:szCs w:val="20"/>
        </w:rPr>
      </w:pPr>
      <w:r>
        <w:rPr>
          <w:rFonts w:ascii="Arial" w:hAnsi="Arial"/>
          <w:sz w:val="20"/>
          <w:szCs w:val="20"/>
        </w:rPr>
        <w:t xml:space="preserve">When a homeowner’s mortgage ends in foreclosure, tax law regards that debt as paid off </w:t>
      </w:r>
      <w:r>
        <w:rPr>
          <w:rFonts w:ascii="Arial" w:hAnsi="Arial"/>
          <w:sz w:val="20"/>
          <w:szCs w:val="20"/>
          <w:u w:color="FF0000"/>
        </w:rPr>
        <w:t>at foreclosure as “</w:t>
      </w:r>
      <w:r>
        <w:rPr>
          <w:rFonts w:ascii="Arial" w:hAnsi="Arial"/>
          <w:sz w:val="20"/>
          <w:szCs w:val="20"/>
          <w:u w:color="FF0000"/>
          <w:lang w:val="it-IT"/>
        </w:rPr>
        <w:t>income</w:t>
      </w:r>
      <w:r>
        <w:rPr>
          <w:rFonts w:ascii="Arial" w:hAnsi="Arial"/>
          <w:sz w:val="20"/>
          <w:szCs w:val="20"/>
          <w:u w:color="FF0000"/>
        </w:rPr>
        <w:t xml:space="preserve">” </w:t>
      </w:r>
      <w:r>
        <w:rPr>
          <w:rFonts w:ascii="Arial" w:hAnsi="Arial"/>
          <w:sz w:val="20"/>
          <w:szCs w:val="20"/>
        </w:rPr>
        <w:t>to homeowners who just lost their home</w:t>
      </w:r>
      <w:r>
        <w:rPr>
          <w:rFonts w:ascii="Arial" w:hAnsi="Arial"/>
          <w:strike/>
          <w:sz w:val="20"/>
          <w:szCs w:val="20"/>
          <w:u w:color="FF0000"/>
        </w:rPr>
        <w:t xml:space="preserve"> </w:t>
      </w:r>
      <w:r>
        <w:rPr>
          <w:rFonts w:ascii="Arial" w:hAnsi="Arial"/>
          <w:sz w:val="20"/>
          <w:szCs w:val="20"/>
        </w:rPr>
        <w:t>and likely larg</w:t>
      </w:r>
      <w:r w:rsidR="00426F05">
        <w:rPr>
          <w:rFonts w:ascii="Arial" w:hAnsi="Arial"/>
          <w:sz w:val="20"/>
          <w:szCs w:val="20"/>
        </w:rPr>
        <w:t xml:space="preserve">est investment of their lives. </w:t>
      </w:r>
      <w:r>
        <w:rPr>
          <w:rFonts w:ascii="Arial" w:hAnsi="Arial"/>
          <w:sz w:val="20"/>
          <w:szCs w:val="20"/>
        </w:rPr>
        <w:t xml:space="preserve">Congress changed federal tax law to exempt homeowners from being taxed as if that is </w:t>
      </w:r>
      <w:r>
        <w:rPr>
          <w:rFonts w:ascii="Arial" w:hAnsi="Arial"/>
          <w:sz w:val="20"/>
          <w:szCs w:val="20"/>
          <w:u w:color="FF0000"/>
          <w:lang w:val="it-IT"/>
        </w:rPr>
        <w:t>income</w:t>
      </w:r>
      <w:r>
        <w:rPr>
          <w:rFonts w:ascii="Arial" w:hAnsi="Arial"/>
          <w:sz w:val="20"/>
          <w:szCs w:val="20"/>
        </w:rPr>
        <w:t>. This Bill creates the same tax exemption at the state level. Two sessions have reported out this bill without final passage</w:t>
      </w:r>
      <w:r>
        <w:rPr>
          <w:rFonts w:ascii="Arial" w:hAnsi="Arial"/>
          <w:sz w:val="20"/>
          <w:szCs w:val="20"/>
          <w:u w:color="FF0000"/>
        </w:rPr>
        <w:t>;</w:t>
      </w:r>
      <w:r>
        <w:rPr>
          <w:rFonts w:ascii="Arial" w:hAnsi="Arial"/>
          <w:sz w:val="20"/>
          <w:szCs w:val="20"/>
        </w:rPr>
        <w:t xml:space="preserve"> meanwhile 10,000+ homeowners have faced </w:t>
      </w:r>
      <w:r>
        <w:rPr>
          <w:rFonts w:ascii="Arial" w:hAnsi="Arial"/>
          <w:sz w:val="20"/>
          <w:szCs w:val="20"/>
          <w:u w:color="FF0000"/>
          <w:lang w:val="it-IT"/>
        </w:rPr>
        <w:t xml:space="preserve">state income </w:t>
      </w:r>
      <w:r>
        <w:rPr>
          <w:rFonts w:ascii="Arial" w:hAnsi="Arial"/>
          <w:sz w:val="20"/>
          <w:szCs w:val="20"/>
        </w:rPr>
        <w:t xml:space="preserve">taxes </w:t>
      </w:r>
      <w:r>
        <w:rPr>
          <w:rFonts w:ascii="Arial" w:hAnsi="Arial"/>
          <w:sz w:val="20"/>
          <w:szCs w:val="20"/>
          <w:u w:color="FF0000"/>
        </w:rPr>
        <w:t xml:space="preserve">that most cannot repay </w:t>
      </w:r>
      <w:r w:rsidR="00426F05">
        <w:rPr>
          <w:rFonts w:ascii="Arial" w:hAnsi="Arial"/>
          <w:sz w:val="20"/>
          <w:szCs w:val="20"/>
          <w:u w:color="FF0000"/>
        </w:rPr>
        <w:t xml:space="preserve">-- </w:t>
      </w:r>
      <w:r>
        <w:rPr>
          <w:rFonts w:ascii="Arial" w:hAnsi="Arial"/>
          <w:sz w:val="20"/>
          <w:szCs w:val="20"/>
        </w:rPr>
        <w:t xml:space="preserve">on money they never received. </w:t>
      </w:r>
    </w:p>
    <w:p w14:paraId="399287C4" w14:textId="77777777" w:rsidR="009A7FF5" w:rsidRPr="009A7FF5" w:rsidRDefault="009A7FF5" w:rsidP="009A7FF5">
      <w:pPr>
        <w:pStyle w:val="Body"/>
        <w:widowControl w:val="0"/>
        <w:rPr>
          <w:rFonts w:ascii="Arial" w:eastAsia="Arial" w:hAnsi="Arial" w:cs="Arial"/>
          <w:sz w:val="12"/>
          <w:szCs w:val="12"/>
        </w:rPr>
      </w:pPr>
    </w:p>
    <w:p w14:paraId="456F3DAC" w14:textId="77777777" w:rsidR="00B03BC2" w:rsidRDefault="004B0D23" w:rsidP="009A7FF5">
      <w:pPr>
        <w:pStyle w:val="Body"/>
        <w:widowControl w:val="0"/>
        <w:numPr>
          <w:ilvl w:val="0"/>
          <w:numId w:val="7"/>
        </w:numPr>
        <w:rPr>
          <w:rFonts w:ascii="Arial" w:hAnsi="Arial"/>
          <w:b/>
          <w:bCs/>
          <w:sz w:val="22"/>
          <w:szCs w:val="22"/>
        </w:rPr>
      </w:pPr>
      <w:r>
        <w:rPr>
          <w:rFonts w:ascii="Arial" w:hAnsi="Arial"/>
          <w:b/>
          <w:bCs/>
          <w:sz w:val="22"/>
          <w:szCs w:val="22"/>
        </w:rPr>
        <w:t xml:space="preserve">Preventing Unnecessary Vacancies, S931/H1373: Sen. Eldridge and Reps. </w:t>
      </w:r>
      <w:proofErr w:type="spellStart"/>
      <w:r>
        <w:rPr>
          <w:rFonts w:ascii="Arial" w:hAnsi="Arial"/>
          <w:b/>
          <w:bCs/>
          <w:sz w:val="22"/>
          <w:szCs w:val="22"/>
          <w:u w:color="FF0000"/>
        </w:rPr>
        <w:t>Capano</w:t>
      </w:r>
      <w:proofErr w:type="spellEnd"/>
      <w:r>
        <w:rPr>
          <w:rFonts w:ascii="Arial" w:hAnsi="Arial"/>
          <w:b/>
          <w:bCs/>
          <w:sz w:val="22"/>
          <w:szCs w:val="22"/>
        </w:rPr>
        <w:t xml:space="preserve"> &amp; Cahill</w:t>
      </w:r>
    </w:p>
    <w:p w14:paraId="579DD6A9" w14:textId="77777777" w:rsidR="00B03BC2" w:rsidRDefault="00B03BC2" w:rsidP="009A7FF5">
      <w:pPr>
        <w:pStyle w:val="Body"/>
        <w:widowControl w:val="0"/>
        <w:ind w:left="360"/>
        <w:rPr>
          <w:rFonts w:ascii="Arial" w:eastAsia="Arial" w:hAnsi="Arial" w:cs="Arial"/>
          <w:sz w:val="4"/>
          <w:szCs w:val="4"/>
        </w:rPr>
      </w:pPr>
    </w:p>
    <w:p w14:paraId="5D40EFCD" w14:textId="77777777" w:rsidR="00B03BC2" w:rsidRDefault="004B0D23" w:rsidP="009A7FF5">
      <w:pPr>
        <w:pStyle w:val="Body"/>
        <w:widowControl w:val="0"/>
        <w:rPr>
          <w:rFonts w:ascii="Arial" w:eastAsia="Arial" w:hAnsi="Arial" w:cs="Arial"/>
          <w:sz w:val="20"/>
          <w:szCs w:val="20"/>
        </w:rPr>
      </w:pPr>
      <w:r>
        <w:rPr>
          <w:rFonts w:ascii="Arial" w:hAnsi="Arial"/>
          <w:sz w:val="20"/>
          <w:szCs w:val="20"/>
        </w:rPr>
        <w:t>This Bill requires a commercial purchaser of a legally foreclosed home to rent it to the “foreclosed” homeowner until the property is sold to a new owner-occupant. The former owners become tenants paying the HUD fair market rent for their units. Post-foreclosure tenants can be evicted only for just cause.</w:t>
      </w:r>
    </w:p>
    <w:p w14:paraId="1F3C8695" w14:textId="77777777" w:rsidR="00B03BC2" w:rsidRPr="009A7FF5" w:rsidRDefault="00B03BC2" w:rsidP="009A7FF5">
      <w:pPr>
        <w:pStyle w:val="Body"/>
        <w:widowControl w:val="0"/>
        <w:rPr>
          <w:rFonts w:ascii="Arial" w:eastAsia="Arial" w:hAnsi="Arial" w:cs="Arial"/>
          <w:sz w:val="12"/>
          <w:szCs w:val="12"/>
        </w:rPr>
      </w:pPr>
    </w:p>
    <w:p w14:paraId="7003C650" w14:textId="77777777" w:rsidR="00B03BC2" w:rsidRDefault="004B0D23" w:rsidP="009A7FF5">
      <w:pPr>
        <w:pStyle w:val="Body"/>
        <w:widowControl w:val="0"/>
        <w:numPr>
          <w:ilvl w:val="0"/>
          <w:numId w:val="4"/>
        </w:numPr>
        <w:rPr>
          <w:rFonts w:ascii="Arial" w:hAnsi="Arial"/>
          <w:b/>
          <w:bCs/>
          <w:sz w:val="22"/>
          <w:szCs w:val="22"/>
        </w:rPr>
      </w:pPr>
      <w:r>
        <w:rPr>
          <w:rFonts w:ascii="Arial" w:hAnsi="Arial"/>
          <w:b/>
          <w:bCs/>
          <w:sz w:val="22"/>
          <w:szCs w:val="22"/>
        </w:rPr>
        <w:t>Real Estate Title Protection Act, H1524: Rep. Frank Moran</w:t>
      </w:r>
    </w:p>
    <w:p w14:paraId="5BDBD024" w14:textId="77777777" w:rsidR="00B03BC2" w:rsidRDefault="00B03BC2" w:rsidP="009A7FF5">
      <w:pPr>
        <w:pStyle w:val="Body"/>
        <w:widowControl w:val="0"/>
        <w:rPr>
          <w:rFonts w:ascii="Arial" w:eastAsia="Arial" w:hAnsi="Arial" w:cs="Arial"/>
          <w:sz w:val="4"/>
          <w:szCs w:val="4"/>
        </w:rPr>
      </w:pPr>
    </w:p>
    <w:p w14:paraId="1ACCD045" w14:textId="77777777" w:rsidR="00B03BC2" w:rsidRDefault="004B0D23" w:rsidP="009A7FF5">
      <w:pPr>
        <w:pStyle w:val="Body"/>
        <w:widowControl w:val="0"/>
        <w:rPr>
          <w:rFonts w:ascii="Arial" w:hAnsi="Arial"/>
          <w:sz w:val="20"/>
          <w:szCs w:val="20"/>
        </w:rPr>
      </w:pPr>
      <w:r>
        <w:rPr>
          <w:rFonts w:ascii="Arial" w:hAnsi="Arial"/>
          <w:sz w:val="20"/>
          <w:szCs w:val="20"/>
        </w:rPr>
        <w:t>This Bill protects real estate titles. With it, the mortgagor (borrower) can always tell who owns the mortgage. It also require</w:t>
      </w:r>
      <w:r>
        <w:rPr>
          <w:rFonts w:ascii="Arial" w:hAnsi="Arial"/>
          <w:sz w:val="20"/>
          <w:szCs w:val="20"/>
          <w:u w:color="FF0000"/>
        </w:rPr>
        <w:t>s</w:t>
      </w:r>
      <w:r>
        <w:rPr>
          <w:rFonts w:ascii="Arial" w:hAnsi="Arial"/>
          <w:sz w:val="20"/>
          <w:szCs w:val="20"/>
        </w:rPr>
        <w:t xml:space="preserve"> the Mortgage Note to be returned to the mortgagor, marked “Paid in Full,” upon payoff. It requires Registries of Deeds to record each mortgage in the names of the real parties in interest, i.e., mortgagor and lender as defined in consumer law and the Common law. It institutes deadlines for recording assignments of mortgage and foreclosure deeds. </w:t>
      </w:r>
      <w:r>
        <w:rPr>
          <w:rFonts w:ascii="Arial" w:hAnsi="Arial"/>
          <w:sz w:val="20"/>
          <w:szCs w:val="20"/>
          <w:u w:color="FF0000"/>
        </w:rPr>
        <w:t xml:space="preserve">By </w:t>
      </w:r>
      <w:r>
        <w:rPr>
          <w:rFonts w:ascii="Arial" w:hAnsi="Arial"/>
          <w:sz w:val="20"/>
          <w:szCs w:val="20"/>
        </w:rPr>
        <w:t xml:space="preserve">protecting marketable title, </w:t>
      </w:r>
      <w:r>
        <w:rPr>
          <w:rFonts w:ascii="Arial" w:hAnsi="Arial"/>
          <w:sz w:val="20"/>
          <w:szCs w:val="20"/>
          <w:u w:color="FF0000"/>
        </w:rPr>
        <w:t>it</w:t>
      </w:r>
      <w:r>
        <w:rPr>
          <w:rFonts w:ascii="Arial" w:hAnsi="Arial"/>
          <w:sz w:val="20"/>
          <w:szCs w:val="20"/>
        </w:rPr>
        <w:t xml:space="preserve"> bolster</w:t>
      </w:r>
      <w:r>
        <w:rPr>
          <w:rFonts w:ascii="Arial" w:hAnsi="Arial"/>
          <w:sz w:val="20"/>
          <w:szCs w:val="20"/>
          <w:u w:color="FF0000"/>
        </w:rPr>
        <w:t>s</w:t>
      </w:r>
      <w:r>
        <w:rPr>
          <w:rFonts w:ascii="Arial" w:hAnsi="Arial"/>
          <w:sz w:val="20"/>
          <w:szCs w:val="20"/>
        </w:rPr>
        <w:t xml:space="preserve"> business creation </w:t>
      </w:r>
      <w:r>
        <w:rPr>
          <w:rFonts w:ascii="Arial" w:hAnsi="Arial"/>
          <w:sz w:val="20"/>
          <w:szCs w:val="20"/>
          <w:u w:color="FF0000"/>
        </w:rPr>
        <w:t>via</w:t>
      </w:r>
      <w:r>
        <w:rPr>
          <w:rFonts w:ascii="Arial" w:hAnsi="Arial"/>
          <w:sz w:val="20"/>
          <w:szCs w:val="20"/>
          <w:lang w:val="fr-FR"/>
        </w:rPr>
        <w:t xml:space="preserve"> entrepreneurs</w:t>
      </w:r>
      <w:r>
        <w:rPr>
          <w:rFonts w:ascii="Arial" w:hAnsi="Arial"/>
          <w:sz w:val="20"/>
          <w:szCs w:val="20"/>
        </w:rPr>
        <w:t xml:space="preserve">’ mortgages on their own homes: </w:t>
      </w:r>
      <w:r w:rsidR="00426F05">
        <w:rPr>
          <w:rFonts w:ascii="Arial" w:hAnsi="Arial"/>
          <w:sz w:val="20"/>
          <w:szCs w:val="20"/>
        </w:rPr>
        <w:t>which</w:t>
      </w:r>
      <w:r>
        <w:rPr>
          <w:rFonts w:ascii="Arial" w:hAnsi="Arial"/>
          <w:sz w:val="20"/>
          <w:szCs w:val="20"/>
        </w:rPr>
        <w:t xml:space="preserve"> historically have provided up to 70% of the credit for new U.S. businesses.</w:t>
      </w:r>
    </w:p>
    <w:p w14:paraId="3E5E9CB7" w14:textId="77777777" w:rsidR="009A7FF5" w:rsidRPr="009A7FF5" w:rsidRDefault="009A7FF5" w:rsidP="009A7FF5">
      <w:pPr>
        <w:pStyle w:val="Body"/>
        <w:widowControl w:val="0"/>
        <w:rPr>
          <w:rFonts w:ascii="Arial" w:eastAsia="Arial" w:hAnsi="Arial" w:cs="Arial"/>
          <w:sz w:val="12"/>
          <w:szCs w:val="12"/>
        </w:rPr>
      </w:pPr>
    </w:p>
    <w:p w14:paraId="4EAEF46B" w14:textId="77777777" w:rsidR="00B03BC2" w:rsidRDefault="004B0D23" w:rsidP="009A7FF5">
      <w:pPr>
        <w:pStyle w:val="Body"/>
        <w:widowControl w:val="0"/>
        <w:numPr>
          <w:ilvl w:val="0"/>
          <w:numId w:val="4"/>
        </w:numPr>
        <w:rPr>
          <w:rFonts w:ascii="Arial" w:hAnsi="Arial"/>
          <w:b/>
          <w:bCs/>
          <w:sz w:val="22"/>
          <w:szCs w:val="22"/>
        </w:rPr>
      </w:pPr>
      <w:r>
        <w:rPr>
          <w:rFonts w:ascii="Arial" w:hAnsi="Arial"/>
          <w:b/>
          <w:bCs/>
          <w:sz w:val="22"/>
          <w:szCs w:val="22"/>
        </w:rPr>
        <w:t xml:space="preserve">Property Tax Taking of Home, S1722/H2549: Sen. </w:t>
      </w:r>
      <w:proofErr w:type="spellStart"/>
      <w:r>
        <w:rPr>
          <w:rFonts w:ascii="Arial" w:hAnsi="Arial"/>
          <w:b/>
          <w:bCs/>
          <w:sz w:val="22"/>
          <w:szCs w:val="22"/>
        </w:rPr>
        <w:t>Montigny</w:t>
      </w:r>
      <w:proofErr w:type="spellEnd"/>
      <w:r>
        <w:rPr>
          <w:rFonts w:ascii="Arial" w:hAnsi="Arial"/>
          <w:b/>
          <w:bCs/>
          <w:sz w:val="22"/>
          <w:szCs w:val="22"/>
        </w:rPr>
        <w:t xml:space="preserve"> and Rep. Mahoney </w:t>
      </w:r>
    </w:p>
    <w:p w14:paraId="28E381D7" w14:textId="77777777" w:rsidR="00B03BC2" w:rsidRDefault="00B03BC2" w:rsidP="009A7FF5">
      <w:pPr>
        <w:pStyle w:val="Body"/>
        <w:widowControl w:val="0"/>
        <w:rPr>
          <w:rFonts w:ascii="Arial" w:eastAsia="Arial" w:hAnsi="Arial" w:cs="Arial"/>
          <w:sz w:val="4"/>
          <w:szCs w:val="4"/>
        </w:rPr>
      </w:pPr>
    </w:p>
    <w:p w14:paraId="3AF8EE32" w14:textId="77777777" w:rsidR="00B03BC2" w:rsidRDefault="004B0D23" w:rsidP="009A7FF5">
      <w:pPr>
        <w:pStyle w:val="Body"/>
        <w:widowControl w:val="0"/>
        <w:rPr>
          <w:rFonts w:ascii="Arial" w:hAnsi="Arial"/>
          <w:sz w:val="20"/>
          <w:szCs w:val="20"/>
        </w:rPr>
      </w:pPr>
      <w:r>
        <w:rPr>
          <w:rFonts w:ascii="Arial" w:hAnsi="Arial"/>
          <w:sz w:val="20"/>
          <w:szCs w:val="20"/>
        </w:rPr>
        <w:t xml:space="preserve">Municipalities have often allowed delinquent owners to pay real estate taxes late or make long payment plans. Now, 31 municipalities </w:t>
      </w:r>
      <w:r>
        <w:rPr>
          <w:rFonts w:ascii="Arial" w:hAnsi="Arial"/>
          <w:sz w:val="20"/>
          <w:szCs w:val="20"/>
          <w:u w:color="FF0000"/>
        </w:rPr>
        <w:t xml:space="preserve">instead sell their </w:t>
      </w:r>
      <w:r>
        <w:rPr>
          <w:rFonts w:ascii="Arial" w:hAnsi="Arial"/>
          <w:sz w:val="20"/>
          <w:szCs w:val="20"/>
        </w:rPr>
        <w:t>tax title debt to unregulated individuals. Owners are unaware that once third party investors foreclose on their homes in Land Court, their homes cannot be redeemed. This Bill requires: (1) explicit notices to homeowners with an alert in the 5 most common languages other than English; (2) licensing tax title purchasers as debt collectors; (3) 1 year redemption period after Land Court foreclosure; (4) that a third-party tax title buyer who forecloses in Land Court must auction the property publicly, with net proceeds split between the municipality and past owner.</w:t>
      </w:r>
    </w:p>
    <w:p w14:paraId="7AD6CCE0" w14:textId="77777777" w:rsidR="009A7FF5" w:rsidRPr="009A7FF5" w:rsidRDefault="009A7FF5" w:rsidP="009A7FF5">
      <w:pPr>
        <w:pStyle w:val="Body"/>
        <w:widowControl w:val="0"/>
        <w:rPr>
          <w:sz w:val="12"/>
          <w:szCs w:val="12"/>
        </w:rPr>
      </w:pPr>
    </w:p>
    <w:p w14:paraId="1D7EAFFA" w14:textId="77777777" w:rsidR="00B03BC2" w:rsidRDefault="004B0D23" w:rsidP="009A7FF5">
      <w:pPr>
        <w:pStyle w:val="Body"/>
        <w:widowControl w:val="0"/>
        <w:numPr>
          <w:ilvl w:val="0"/>
          <w:numId w:val="4"/>
        </w:numPr>
        <w:rPr>
          <w:rFonts w:ascii="Arial" w:hAnsi="Arial"/>
          <w:b/>
          <w:bCs/>
          <w:sz w:val="22"/>
          <w:szCs w:val="22"/>
        </w:rPr>
      </w:pPr>
      <w:r>
        <w:rPr>
          <w:rFonts w:ascii="Arial" w:hAnsi="Arial"/>
          <w:b/>
          <w:bCs/>
          <w:sz w:val="22"/>
          <w:szCs w:val="22"/>
        </w:rPr>
        <w:t>Judicial Foreclosure, S836/H3384: Senator Brady and Rep. Mark</w:t>
      </w:r>
    </w:p>
    <w:p w14:paraId="2031D460" w14:textId="77777777" w:rsidR="00B03BC2" w:rsidRDefault="00B03BC2" w:rsidP="009A7FF5">
      <w:pPr>
        <w:pStyle w:val="Body"/>
        <w:widowControl w:val="0"/>
        <w:rPr>
          <w:rFonts w:ascii="Arial" w:eastAsia="Arial" w:hAnsi="Arial" w:cs="Arial"/>
          <w:sz w:val="4"/>
          <w:szCs w:val="4"/>
        </w:rPr>
      </w:pPr>
    </w:p>
    <w:p w14:paraId="32AD3673" w14:textId="77777777" w:rsidR="00B03BC2" w:rsidRDefault="004B0D23" w:rsidP="009A7FF5">
      <w:pPr>
        <w:pStyle w:val="Body"/>
        <w:widowControl w:val="0"/>
        <w:rPr>
          <w:rFonts w:ascii="Arial" w:hAnsi="Arial"/>
          <w:sz w:val="20"/>
          <w:szCs w:val="20"/>
        </w:rPr>
      </w:pPr>
      <w:r>
        <w:rPr>
          <w:rFonts w:ascii="Arial" w:hAnsi="Arial"/>
          <w:sz w:val="20"/>
          <w:szCs w:val="20"/>
        </w:rPr>
        <w:t xml:space="preserve">This Bill requires 1 – 4 family home foreclosures to be conducted through a court action. A party wishing to foreclose must provide the legal documentation to prove to a judge that it </w:t>
      </w:r>
      <w:r>
        <w:rPr>
          <w:rFonts w:ascii="Arial" w:hAnsi="Arial"/>
          <w:sz w:val="20"/>
          <w:szCs w:val="20"/>
          <w:u w:color="FF0000"/>
          <w:lang w:val="da-DK"/>
        </w:rPr>
        <w:t>holds</w:t>
      </w:r>
      <w:r>
        <w:rPr>
          <w:rFonts w:ascii="Arial" w:hAnsi="Arial"/>
          <w:sz w:val="20"/>
          <w:szCs w:val="20"/>
        </w:rPr>
        <w:t xml:space="preserve"> the mortgage </w:t>
      </w:r>
      <w:r>
        <w:rPr>
          <w:rFonts w:ascii="Arial" w:hAnsi="Arial"/>
          <w:sz w:val="20"/>
          <w:szCs w:val="20"/>
          <w:u w:color="FF0000"/>
        </w:rPr>
        <w:t>and Note (or acts for Note H</w:t>
      </w:r>
      <w:r>
        <w:rPr>
          <w:rFonts w:ascii="Arial" w:hAnsi="Arial"/>
          <w:sz w:val="20"/>
          <w:szCs w:val="20"/>
          <w:lang w:val="da-DK"/>
        </w:rPr>
        <w:t xml:space="preserve">older </w:t>
      </w:r>
      <w:r>
        <w:rPr>
          <w:rFonts w:ascii="Arial" w:hAnsi="Arial"/>
          <w:i/>
          <w:iCs/>
          <w:sz w:val="20"/>
          <w:szCs w:val="20"/>
        </w:rPr>
        <w:t xml:space="preserve">before it forecloses). </w:t>
      </w:r>
      <w:r>
        <w:rPr>
          <w:rFonts w:ascii="Arial" w:hAnsi="Arial"/>
          <w:sz w:val="20"/>
          <w:szCs w:val="20"/>
        </w:rPr>
        <w:t xml:space="preserve">With Massachusetts’ </w:t>
      </w:r>
      <w:r>
        <w:rPr>
          <w:rFonts w:ascii="Arial" w:hAnsi="Arial"/>
          <w:sz w:val="20"/>
          <w:szCs w:val="20"/>
          <w:lang w:val="it-IT"/>
        </w:rPr>
        <w:t>present</w:t>
      </w:r>
      <w:r>
        <w:rPr>
          <w:rFonts w:ascii="Arial" w:hAnsi="Arial"/>
          <w:sz w:val="20"/>
          <w:szCs w:val="20"/>
        </w:rPr>
        <w:t xml:space="preserve">, non-judicial foreclosure practice, a wronged homeowner </w:t>
      </w:r>
      <w:r>
        <w:rPr>
          <w:rFonts w:ascii="Arial" w:hAnsi="Arial"/>
          <w:sz w:val="20"/>
          <w:szCs w:val="20"/>
          <w:u w:color="FF0000"/>
        </w:rPr>
        <w:t>must</w:t>
      </w:r>
      <w:r>
        <w:rPr>
          <w:rFonts w:ascii="Arial" w:hAnsi="Arial"/>
          <w:sz w:val="20"/>
          <w:szCs w:val="20"/>
        </w:rPr>
        <w:t xml:space="preserve"> get a judge to order the foreclosing party to produce this evidence. Judicial Foreclosure will prevent foreclosures by those with no authority to foreclose, and prevent clouds on title presently created during non-judicial foreclosures.</w:t>
      </w:r>
    </w:p>
    <w:p w14:paraId="3A0EAFDF" w14:textId="77777777" w:rsidR="009A7FF5" w:rsidRPr="009A7FF5" w:rsidRDefault="009A7FF5" w:rsidP="009A7FF5">
      <w:pPr>
        <w:pStyle w:val="Body"/>
        <w:widowControl w:val="0"/>
        <w:rPr>
          <w:rFonts w:ascii="Arial" w:eastAsia="Arial" w:hAnsi="Arial" w:cs="Arial"/>
          <w:sz w:val="12"/>
          <w:szCs w:val="12"/>
        </w:rPr>
      </w:pPr>
    </w:p>
    <w:p w14:paraId="607DCC89" w14:textId="77777777" w:rsidR="00B03BC2" w:rsidRDefault="004B0D23" w:rsidP="009A7FF5">
      <w:pPr>
        <w:pStyle w:val="Body"/>
        <w:widowControl w:val="0"/>
        <w:numPr>
          <w:ilvl w:val="0"/>
          <w:numId w:val="4"/>
        </w:numPr>
        <w:rPr>
          <w:rFonts w:ascii="Arial" w:hAnsi="Arial"/>
          <w:b/>
          <w:bCs/>
          <w:sz w:val="22"/>
          <w:szCs w:val="22"/>
        </w:rPr>
      </w:pPr>
      <w:r>
        <w:rPr>
          <w:rFonts w:ascii="Arial" w:hAnsi="Arial"/>
          <w:b/>
          <w:bCs/>
          <w:sz w:val="22"/>
          <w:szCs w:val="22"/>
        </w:rPr>
        <w:t>Resolution Trust Fund, S566/H961: Rep. DuBois</w:t>
      </w:r>
    </w:p>
    <w:p w14:paraId="551C8B65" w14:textId="77777777" w:rsidR="00B03BC2" w:rsidRDefault="004B0D23" w:rsidP="009A7FF5">
      <w:pPr>
        <w:pStyle w:val="Body"/>
        <w:widowControl w:val="0"/>
        <w:rPr>
          <w:rFonts w:ascii="Arial" w:eastAsia="Arial" w:hAnsi="Arial" w:cs="Arial"/>
          <w:sz w:val="4"/>
          <w:szCs w:val="4"/>
        </w:rPr>
      </w:pPr>
      <w:r>
        <w:rPr>
          <w:rFonts w:ascii="Arial" w:hAnsi="Arial"/>
          <w:sz w:val="4"/>
          <w:szCs w:val="4"/>
        </w:rPr>
        <w:t> </w:t>
      </w:r>
    </w:p>
    <w:p w14:paraId="431C838C" w14:textId="77777777" w:rsidR="00B03BC2" w:rsidRDefault="00B03BC2" w:rsidP="009A7FF5">
      <w:pPr>
        <w:pStyle w:val="Body"/>
        <w:widowControl w:val="0"/>
        <w:rPr>
          <w:rFonts w:ascii="Arial" w:eastAsia="Arial" w:hAnsi="Arial" w:cs="Arial"/>
          <w:sz w:val="4"/>
          <w:szCs w:val="4"/>
        </w:rPr>
      </w:pPr>
    </w:p>
    <w:p w14:paraId="37EF743E" w14:textId="77777777" w:rsidR="00B03BC2" w:rsidRDefault="004B0D23" w:rsidP="009A7FF5">
      <w:pPr>
        <w:pStyle w:val="Body"/>
        <w:widowControl w:val="0"/>
        <w:rPr>
          <w:rFonts w:ascii="Arial" w:hAnsi="Arial"/>
          <w:sz w:val="20"/>
          <w:szCs w:val="20"/>
        </w:rPr>
      </w:pPr>
      <w:r>
        <w:rPr>
          <w:rFonts w:ascii="Arial" w:hAnsi="Arial"/>
          <w:sz w:val="20"/>
          <w:szCs w:val="20"/>
        </w:rPr>
        <w:t xml:space="preserve">This Bill establishes a dedicated, state Trust Fund into which borrowers pay when they prove no bank can legally claim their mortgage. Recent cases show hundreds of Massachusetts mortgages lack a legal owner and should revert to the State, but we lack a mechanism to receive </w:t>
      </w:r>
      <w:proofErr w:type="spellStart"/>
      <w:r>
        <w:rPr>
          <w:rFonts w:ascii="Arial" w:hAnsi="Arial"/>
          <w:sz w:val="20"/>
          <w:szCs w:val="20"/>
          <w:u w:color="FF0000"/>
          <w:lang w:val="fr-FR"/>
        </w:rPr>
        <w:t>mortgage</w:t>
      </w:r>
      <w:proofErr w:type="spellEnd"/>
      <w:r>
        <w:rPr>
          <w:rFonts w:ascii="Arial" w:hAnsi="Arial"/>
          <w:sz w:val="20"/>
          <w:szCs w:val="20"/>
          <w:u w:color="FF0000"/>
          <w:lang w:val="fr-FR"/>
        </w:rPr>
        <w:t xml:space="preserve"> </w:t>
      </w:r>
      <w:proofErr w:type="spellStart"/>
      <w:r>
        <w:rPr>
          <w:rFonts w:ascii="Arial" w:hAnsi="Arial"/>
          <w:sz w:val="20"/>
          <w:szCs w:val="20"/>
          <w:u w:color="FF0000"/>
          <w:lang w:val="fr-FR"/>
        </w:rPr>
        <w:t>payments</w:t>
      </w:r>
      <w:proofErr w:type="spellEnd"/>
      <w:r>
        <w:rPr>
          <w:rFonts w:ascii="Arial" w:hAnsi="Arial"/>
          <w:sz w:val="20"/>
          <w:szCs w:val="20"/>
          <w:u w:color="FF0000"/>
        </w:rPr>
        <w:t>.</w:t>
      </w:r>
      <w:r>
        <w:rPr>
          <w:rFonts w:ascii="Arial" w:hAnsi="Arial"/>
          <w:sz w:val="20"/>
          <w:szCs w:val="20"/>
        </w:rPr>
        <w:t xml:space="preserve"> Annual statewide hearings would determine use of </w:t>
      </w:r>
      <w:r>
        <w:rPr>
          <w:rFonts w:ascii="Arial" w:hAnsi="Arial"/>
          <w:sz w:val="20"/>
          <w:szCs w:val="20"/>
          <w:u w:color="FF0000"/>
          <w:lang w:val="fr-FR"/>
        </w:rPr>
        <w:t>revenues</w:t>
      </w:r>
      <w:r>
        <w:rPr>
          <w:rFonts w:ascii="Arial" w:hAnsi="Arial"/>
          <w:sz w:val="20"/>
          <w:szCs w:val="20"/>
        </w:rPr>
        <w:t xml:space="preserve"> to rebuild housing and businesses in areas hard hit by foreclosures. As funds increase, hearings will be held regionally and the monies used to rehabilitate the areas from which they originate.   </w:t>
      </w:r>
    </w:p>
    <w:p w14:paraId="784B34F4" w14:textId="77777777" w:rsidR="009A7FF5" w:rsidRPr="0068566F" w:rsidRDefault="009A7FF5" w:rsidP="00426F05">
      <w:pPr>
        <w:pStyle w:val="Body"/>
        <w:widowControl w:val="0"/>
        <w:jc w:val="center"/>
        <w:rPr>
          <w:rFonts w:ascii="Arial" w:eastAsia="Arial" w:hAnsi="Arial" w:cs="Arial"/>
          <w:sz w:val="10"/>
          <w:szCs w:val="10"/>
        </w:rPr>
      </w:pPr>
      <w:bookmarkStart w:id="0" w:name="_GoBack"/>
    </w:p>
    <w:bookmarkEnd w:id="0"/>
    <w:p w14:paraId="783B6AF3" w14:textId="77777777" w:rsidR="00B03BC2" w:rsidRDefault="00935823">
      <w:pPr>
        <w:pStyle w:val="Body"/>
        <w:jc w:val="center"/>
        <w:rPr>
          <w:rStyle w:val="Hyperlink1"/>
          <w:rFonts w:eastAsia="Arial Unicode MS"/>
        </w:rPr>
      </w:pPr>
      <w:r>
        <w:fldChar w:fldCharType="begin"/>
      </w:r>
      <w:r>
        <w:instrText xml:space="preserve"> HYPERLINK "mailt</w:instrText>
      </w:r>
      <w:r>
        <w:instrText xml:space="preserve">o:maaplinfo@yahoo.com" </w:instrText>
      </w:r>
      <w:r>
        <w:fldChar w:fldCharType="separate"/>
      </w:r>
      <w:r w:rsidR="004B0D23">
        <w:rPr>
          <w:rStyle w:val="Hyperlink0"/>
          <w:rFonts w:eastAsia="Arial Unicode MS"/>
        </w:rPr>
        <w:t>maaplinfo@yahoo.com</w:t>
      </w:r>
      <w:r>
        <w:rPr>
          <w:rStyle w:val="Hyperlink0"/>
          <w:rFonts w:eastAsia="Arial Unicode MS"/>
        </w:rPr>
        <w:fldChar w:fldCharType="end"/>
      </w:r>
      <w:r w:rsidR="004B0D23">
        <w:rPr>
          <w:i/>
          <w:iCs/>
          <w:sz w:val="21"/>
          <w:szCs w:val="21"/>
        </w:rPr>
        <w:tab/>
      </w:r>
      <w:r w:rsidR="004B0D23">
        <w:rPr>
          <w:i/>
          <w:iCs/>
          <w:sz w:val="21"/>
          <w:szCs w:val="21"/>
        </w:rPr>
        <w:tab/>
      </w:r>
      <w:hyperlink r:id="rId12" w:history="1">
        <w:r w:rsidR="004B0D23">
          <w:rPr>
            <w:rStyle w:val="Hyperlink1"/>
            <w:rFonts w:eastAsia="Arial Unicode MS"/>
          </w:rPr>
          <w:t>www.MAAPL.info</w:t>
        </w:r>
      </w:hyperlink>
      <w:r w:rsidR="004B0D23">
        <w:rPr>
          <w:rStyle w:val="Hyperlink1"/>
          <w:rFonts w:eastAsia="Arial Unicode MS"/>
        </w:rPr>
        <w:tab/>
        <w:t>Legislative Contact: Grace Ross, 617-291-5591</w:t>
      </w:r>
    </w:p>
    <w:p w14:paraId="1A82E54A" w14:textId="77777777" w:rsidR="00B03BC2" w:rsidRDefault="00B03BC2">
      <w:pPr>
        <w:pStyle w:val="Body"/>
        <w:jc w:val="center"/>
        <w:rPr>
          <w:i/>
          <w:iCs/>
          <w:sz w:val="12"/>
          <w:szCs w:val="12"/>
        </w:rPr>
      </w:pPr>
    </w:p>
    <w:p w14:paraId="2AA308D9" w14:textId="77777777" w:rsidR="00B03BC2" w:rsidRDefault="00B03BC2">
      <w:pPr>
        <w:pStyle w:val="Body"/>
        <w:jc w:val="center"/>
        <w:rPr>
          <w:i/>
          <w:iCs/>
          <w:sz w:val="6"/>
          <w:szCs w:val="6"/>
        </w:rPr>
      </w:pPr>
    </w:p>
    <w:p w14:paraId="4B9732D1" w14:textId="77777777" w:rsidR="00B03BC2" w:rsidRDefault="004B0D23">
      <w:pPr>
        <w:pStyle w:val="Body"/>
      </w:pPr>
      <w:r>
        <w:rPr>
          <w:rStyle w:val="None"/>
          <w:b/>
          <w:bCs/>
          <w:i/>
          <w:iCs/>
          <w:smallCaps/>
          <w:sz w:val="18"/>
          <w:szCs w:val="18"/>
        </w:rPr>
        <w:t>MAAPL</w:t>
      </w:r>
      <w:r>
        <w:rPr>
          <w:rStyle w:val="None"/>
          <w:i/>
          <w:iCs/>
          <w:smallCaps/>
          <w:sz w:val="18"/>
          <w:szCs w:val="18"/>
        </w:rPr>
        <w:t xml:space="preserve"> </w:t>
      </w:r>
      <w:r>
        <w:rPr>
          <w:rStyle w:val="None"/>
          <w:b/>
          <w:bCs/>
          <w:i/>
          <w:iCs/>
          <w:smallCaps/>
          <w:sz w:val="18"/>
          <w:szCs w:val="18"/>
        </w:rPr>
        <w:t>Members/Supporting Organizations</w:t>
      </w:r>
      <w:r>
        <w:rPr>
          <w:rStyle w:val="None"/>
          <w:i/>
          <w:iCs/>
          <w:sz w:val="18"/>
          <w:szCs w:val="18"/>
        </w:rPr>
        <w:t xml:space="preserve">: </w:t>
      </w:r>
      <w:r>
        <w:rPr>
          <w:rStyle w:val="None"/>
          <w:i/>
          <w:iCs/>
          <w:sz w:val="16"/>
          <w:szCs w:val="16"/>
        </w:rPr>
        <w:t xml:space="preserve">Action for Boston Community Development, Inc., Action for Regional Equity, Alliance of Providers of Legal Services to Individuals Facing Foreclosure, ARISE for Social Justice, Arlington Community </w:t>
      </w:r>
      <w:proofErr w:type="spellStart"/>
      <w:r>
        <w:rPr>
          <w:rStyle w:val="None"/>
          <w:i/>
          <w:iCs/>
          <w:sz w:val="16"/>
          <w:szCs w:val="16"/>
        </w:rPr>
        <w:t>Trabajando</w:t>
      </w:r>
      <w:proofErr w:type="spellEnd"/>
      <w:r>
        <w:rPr>
          <w:rStyle w:val="None"/>
          <w:i/>
          <w:iCs/>
          <w:sz w:val="16"/>
          <w:szCs w:val="16"/>
        </w:rPr>
        <w:t xml:space="preserve">, Boston Tenants Coalition, Brazilian Women's Group, Brockton Interfaith Community, Carpenters Local 40, Carpenters Local 107, Charles Hamilton Houston Institute For Race &amp; Justice, Chelsea Collaborative, Chinese Progressive Association, City Life/Vida Urbana, Coalition for Social Justice, Community Economic Development </w:t>
      </w:r>
      <w:proofErr w:type="spellStart"/>
      <w:r>
        <w:rPr>
          <w:rStyle w:val="None"/>
          <w:i/>
          <w:iCs/>
          <w:sz w:val="16"/>
          <w:szCs w:val="16"/>
        </w:rPr>
        <w:t>Ctr</w:t>
      </w:r>
      <w:proofErr w:type="spellEnd"/>
      <w:r>
        <w:rPr>
          <w:rStyle w:val="None"/>
          <w:i/>
          <w:iCs/>
          <w:sz w:val="16"/>
          <w:szCs w:val="16"/>
        </w:rPr>
        <w:t xml:space="preserve"> of S.E. MA, Community Labor United, Democratic Socialists of America, Dorchester People for Peace, Era Key Realty Services, ESAC, Fair Housing Center of Greater Boston, Greater Boston Legal Services, Greater Four Corners Action Coalition, Green-Rainbow Party of MA, Harvard Legal Aid Bureau, Homeowner Options for MA Elders, Jewish Alliance for Law and Social Action, Lawrence Community Works, Lawyers' Committee for Civil Rights Under Law, Lynn United for Change, Legal Assistance Corporation of Central Mass, Mass Advocates for Children, Mass AFL-CIO, Mass Coalition for the Homeless, Mass Community Action Network, Massachusetts Fair Housing Center, Mass Jobs With Justice, Mass Law Reform Institute, Mass Welfare Rights Union, Merrimack Valley Labor Council, NAACP N.E. Area Council, National Community Reinvestment Coalition, National Consumer Law Center, National Lawyers Guild, Neighbor-to-Neighbor, Neighborhood Legal Services, New England United for Justice, North Shore Labor Council, Organization for a New Equality, Painters District Council 35, Pleasant St. Neighborhood Network Center, Southbridge Community Connections, Springfield No One Leaves Coalition, Survivors Inc., UE Northeast Region, Union of Minority Neighborhoods, United Auto Workers Mass CAP, United Food &amp; Commercial Workers 1445, United For a Fair Economy, United Steel Workers Local 5696, Volunteer Lawyers Project, Worcester Anti-Foreclosure Team</w:t>
      </w:r>
    </w:p>
    <w:sectPr w:rsidR="00B03BC2">
      <w:type w:val="continuous"/>
      <w:pgSz w:w="12240" w:h="15840"/>
      <w:pgMar w:top="720" w:right="1080" w:bottom="1008"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18165" w14:textId="77777777" w:rsidR="00935823" w:rsidRDefault="00935823">
      <w:r>
        <w:separator/>
      </w:r>
    </w:p>
  </w:endnote>
  <w:endnote w:type="continuationSeparator" w:id="0">
    <w:p w14:paraId="3BA36389" w14:textId="77777777" w:rsidR="00935823" w:rsidRDefault="0093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Bodoni MT Black">
    <w:panose1 w:val="02070A03080606020203"/>
    <w:charset w:val="4D"/>
    <w:family w:val="roman"/>
    <w:pitch w:val="variable"/>
    <w:sig w:usb0="00000003" w:usb1="00000000" w:usb2="00000000" w:usb3="00000000" w:csb0="00000001" w:csb1="00000000"/>
  </w:font>
  <w:font w:name="Bodoni SvtyTwo ITC TT-Bold">
    <w:altName w:val="Courier New"/>
    <w:panose1 w:val="000007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AD923" w14:textId="77777777" w:rsidR="00B03BC2" w:rsidRDefault="00B03BC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09A30" w14:textId="77777777" w:rsidR="00935823" w:rsidRDefault="00935823">
      <w:r>
        <w:separator/>
      </w:r>
    </w:p>
  </w:footnote>
  <w:footnote w:type="continuationSeparator" w:id="0">
    <w:p w14:paraId="3F6788D4" w14:textId="77777777" w:rsidR="00935823" w:rsidRDefault="00935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BA94D" w14:textId="77777777" w:rsidR="00B03BC2" w:rsidRDefault="00B03BC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C03B1"/>
    <w:multiLevelType w:val="hybridMultilevel"/>
    <w:tmpl w:val="8A9061D6"/>
    <w:styleLink w:val="ImportedStyle1"/>
    <w:lvl w:ilvl="0" w:tplc="BD90B1E8">
      <w:start w:val="1"/>
      <w:numFmt w:val="bullet"/>
      <w:lvlText w:val="➢"/>
      <w:lvlJc w:val="left"/>
      <w:pPr>
        <w:ind w:left="295"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9C3AF094">
      <w:start w:val="1"/>
      <w:numFmt w:val="bullet"/>
      <w:lvlText w:val="o"/>
      <w:lvlJc w:val="left"/>
      <w:pPr>
        <w:ind w:left="1015" w:hanging="295"/>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0CE28E28">
      <w:start w:val="1"/>
      <w:numFmt w:val="bullet"/>
      <w:lvlText w:val="▪"/>
      <w:lvlJc w:val="left"/>
      <w:pPr>
        <w:ind w:left="1735"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35D0DB1A">
      <w:start w:val="1"/>
      <w:numFmt w:val="bullet"/>
      <w:lvlText w:val="•"/>
      <w:lvlJc w:val="left"/>
      <w:pPr>
        <w:ind w:left="2455"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FA366AF0">
      <w:start w:val="1"/>
      <w:numFmt w:val="bullet"/>
      <w:lvlText w:val="o"/>
      <w:lvlJc w:val="left"/>
      <w:pPr>
        <w:ind w:left="3175" w:hanging="295"/>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14AA3CB8">
      <w:start w:val="1"/>
      <w:numFmt w:val="bullet"/>
      <w:lvlText w:val="▪"/>
      <w:lvlJc w:val="left"/>
      <w:pPr>
        <w:ind w:left="3895"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B820182E">
      <w:start w:val="1"/>
      <w:numFmt w:val="bullet"/>
      <w:lvlText w:val="•"/>
      <w:lvlJc w:val="left"/>
      <w:pPr>
        <w:ind w:left="4615"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104236B8">
      <w:start w:val="1"/>
      <w:numFmt w:val="bullet"/>
      <w:lvlText w:val="o"/>
      <w:lvlJc w:val="left"/>
      <w:pPr>
        <w:ind w:left="5335" w:hanging="295"/>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885CB218">
      <w:start w:val="1"/>
      <w:numFmt w:val="bullet"/>
      <w:lvlText w:val="▪"/>
      <w:lvlJc w:val="left"/>
      <w:pPr>
        <w:ind w:left="6055"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1" w15:restartNumberingAfterBreak="0">
    <w:nsid w:val="0E68650D"/>
    <w:multiLevelType w:val="hybridMultilevel"/>
    <w:tmpl w:val="8A9061D6"/>
    <w:numStyleLink w:val="ImportedStyle1"/>
  </w:abstractNum>
  <w:abstractNum w:abstractNumId="2" w15:restartNumberingAfterBreak="0">
    <w:nsid w:val="333F3BA1"/>
    <w:multiLevelType w:val="hybridMultilevel"/>
    <w:tmpl w:val="A4D6156A"/>
    <w:styleLink w:val="ImportedStyle2"/>
    <w:lvl w:ilvl="0" w:tplc="D6E0F63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B282060">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88800F7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3F0CA1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D3CC06E">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E9BEBA0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E6C61E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706DD84">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BE82065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49E36C6"/>
    <w:multiLevelType w:val="hybridMultilevel"/>
    <w:tmpl w:val="19ECE0AE"/>
    <w:styleLink w:val="ImportedStyle3"/>
    <w:lvl w:ilvl="0" w:tplc="0308B42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0CEB284">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084BC5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6DC004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BB073A6">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3BA6E22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8FAB27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90066E6">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DFF6775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8484620"/>
    <w:multiLevelType w:val="hybridMultilevel"/>
    <w:tmpl w:val="19ECE0AE"/>
    <w:numStyleLink w:val="ImportedStyle3"/>
  </w:abstractNum>
  <w:abstractNum w:abstractNumId="5" w15:restartNumberingAfterBreak="0">
    <w:nsid w:val="66BB53BF"/>
    <w:multiLevelType w:val="hybridMultilevel"/>
    <w:tmpl w:val="A4D6156A"/>
    <w:numStyleLink w:val="ImportedStyle2"/>
  </w:abstractNum>
  <w:num w:numId="1">
    <w:abstractNumId w:val="0"/>
  </w:num>
  <w:num w:numId="2">
    <w:abstractNumId w:val="1"/>
  </w:num>
  <w:num w:numId="3">
    <w:abstractNumId w:val="2"/>
  </w:num>
  <w:num w:numId="4">
    <w:abstractNumId w:val="5"/>
  </w:num>
  <w:num w:numId="5">
    <w:abstractNumId w:val="1"/>
    <w:lvlOverride w:ilvl="0">
      <w:lvl w:ilvl="0" w:tplc="E05CC80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9167462">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3B43E3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8B6386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AC6E26E">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91AAD3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22A2B6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2BCB7C8">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C40D64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BC2"/>
    <w:rsid w:val="00426F05"/>
    <w:rsid w:val="004B0D23"/>
    <w:rsid w:val="0068566F"/>
    <w:rsid w:val="00935823"/>
    <w:rsid w:val="009A7FF5"/>
    <w:rsid w:val="00B03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27027"/>
  <w15:docId w15:val="{C031964B-EE30-4343-8430-592AB6F7C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styleId="ListParagraph">
    <w:name w:val="List Paragraph"/>
    <w:pPr>
      <w:ind w:left="720"/>
    </w:pPr>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i/>
      <w:iCs/>
      <w:outline w:val="0"/>
      <w:color w:val="000000"/>
      <w:sz w:val="21"/>
      <w:szCs w:val="21"/>
      <w:u w:val="single" w:color="0000FF"/>
    </w:rPr>
  </w:style>
  <w:style w:type="character" w:customStyle="1" w:styleId="None">
    <w:name w:val="None"/>
  </w:style>
  <w:style w:type="character" w:customStyle="1" w:styleId="Hyperlink1">
    <w:name w:val="Hyperlink.1"/>
    <w:basedOn w:val="None"/>
    <w:rPr>
      <w:rFonts w:ascii="Times New Roman" w:eastAsia="Times New Roman" w:hAnsi="Times New Roman" w:cs="Times New Roman"/>
      <w:i/>
      <w:i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APL.inf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title>
      <c:tx>
        <c:rich>
          <a:bodyPr rot="0"/>
          <a:lstStyle/>
          <a:p>
            <a:pPr>
              <a:defRPr sz="1800" b="1" i="0" u="none" strike="noStrike">
                <a:solidFill>
                  <a:srgbClr val="000000"/>
                </a:solidFill>
                <a:latin typeface="Helvetica"/>
              </a:defRPr>
            </a:pPr>
            <a:r>
              <a:rPr lang="en-US" sz="1800" b="1" i="0" u="none" strike="noStrike">
                <a:solidFill>
                  <a:srgbClr val="000000"/>
                </a:solidFill>
                <a:latin typeface="Helvetica"/>
              </a:rPr>
              <a:t>Massachusetts Foreclosure Deeds, Cumulative since 2006</a:t>
            </a:r>
          </a:p>
        </c:rich>
      </c:tx>
      <c:layout>
        <c:manualLayout>
          <c:xMode val="edge"/>
          <c:yMode val="edge"/>
          <c:x val="0"/>
          <c:y val="0"/>
          <c:w val="1"/>
          <c:h val="0.28525699999999998"/>
        </c:manualLayout>
      </c:layout>
      <c:overlay val="1"/>
      <c:spPr>
        <a:noFill/>
        <a:effectLst/>
      </c:spPr>
    </c:title>
    <c:autoTitleDeleted val="0"/>
    <c:plotArea>
      <c:layout>
        <c:manualLayout>
          <c:layoutTarget val="inner"/>
          <c:xMode val="edge"/>
          <c:yMode val="edge"/>
          <c:x val="0.17877899999999999"/>
          <c:y val="0.28525699999999998"/>
          <c:w val="0.811944"/>
          <c:h val="0.65034999999999998"/>
        </c:manualLayout>
      </c:layout>
      <c:lineChart>
        <c:grouping val="standard"/>
        <c:varyColors val="0"/>
        <c:ser>
          <c:idx val="0"/>
          <c:order val="0"/>
          <c:tx>
            <c:strRef>
              <c:f>Sheet1!$A$2</c:f>
              <c:strCache>
                <c:ptCount val="1"/>
                <c:pt idx="0">
                  <c:v>Cumulative Deeds</c:v>
                </c:pt>
              </c:strCache>
            </c:strRef>
          </c:tx>
          <c:spPr>
            <a:ln w="47625" cap="flat">
              <a:solidFill>
                <a:srgbClr val="7D60A0"/>
              </a:solidFill>
              <a:prstDash val="solid"/>
              <a:round/>
            </a:ln>
            <a:effectLst/>
          </c:spPr>
          <c:marker>
            <c:symbol val="none"/>
          </c:marker>
          <c:cat>
            <c:strRef>
              <c:f>Sheet1!$B$1:$DR$1</c:f>
              <c:strCache>
                <c:ptCount val="121"/>
                <c:pt idx="0">
                  <c:v>Jan-10</c:v>
                </c:pt>
                <c:pt idx="1">
                  <c:v>Feb-10</c:v>
                </c:pt>
                <c:pt idx="2">
                  <c:v>Mar-10</c:v>
                </c:pt>
                <c:pt idx="3">
                  <c:v>Apr-10</c:v>
                </c:pt>
                <c:pt idx="4">
                  <c:v>May-10</c:v>
                </c:pt>
                <c:pt idx="5">
                  <c:v>Jun-10</c:v>
                </c:pt>
                <c:pt idx="6">
                  <c:v>Jul-10</c:v>
                </c:pt>
                <c:pt idx="7">
                  <c:v>Aug-10</c:v>
                </c:pt>
                <c:pt idx="8">
                  <c:v>Sept-10</c:v>
                </c:pt>
                <c:pt idx="9">
                  <c:v>Oct-10</c:v>
                </c:pt>
                <c:pt idx="10">
                  <c:v>Nov-10</c:v>
                </c:pt>
                <c:pt idx="11">
                  <c:v>Dec-10</c:v>
                </c:pt>
                <c:pt idx="12">
                  <c:v>Jan-11</c:v>
                </c:pt>
                <c:pt idx="13">
                  <c:v>Feb-11</c:v>
                </c:pt>
                <c:pt idx="14">
                  <c:v>Mar-11</c:v>
                </c:pt>
                <c:pt idx="15">
                  <c:v>Apr-11</c:v>
                </c:pt>
                <c:pt idx="16">
                  <c:v>May-11</c:v>
                </c:pt>
                <c:pt idx="17">
                  <c:v>Jun-11</c:v>
                </c:pt>
                <c:pt idx="18">
                  <c:v>Jul-11</c:v>
                </c:pt>
                <c:pt idx="19">
                  <c:v>Aug-11</c:v>
                </c:pt>
                <c:pt idx="20">
                  <c:v>Sept-11</c:v>
                </c:pt>
                <c:pt idx="21">
                  <c:v>Oct-11</c:v>
                </c:pt>
                <c:pt idx="22">
                  <c:v>Nov-11</c:v>
                </c:pt>
                <c:pt idx="23">
                  <c:v>Dec-11</c:v>
                </c:pt>
                <c:pt idx="24">
                  <c:v>Jan-12</c:v>
                </c:pt>
                <c:pt idx="25">
                  <c:v>Feb-12</c:v>
                </c:pt>
                <c:pt idx="26">
                  <c:v>Mar-12</c:v>
                </c:pt>
                <c:pt idx="27">
                  <c:v>Apr-12</c:v>
                </c:pt>
                <c:pt idx="28">
                  <c:v>May-12</c:v>
                </c:pt>
                <c:pt idx="29">
                  <c:v>Jun-12</c:v>
                </c:pt>
                <c:pt idx="30">
                  <c:v>Jul-12</c:v>
                </c:pt>
                <c:pt idx="31">
                  <c:v>Aug-12</c:v>
                </c:pt>
                <c:pt idx="32">
                  <c:v>Sept-12</c:v>
                </c:pt>
                <c:pt idx="33">
                  <c:v>Oct-12</c:v>
                </c:pt>
                <c:pt idx="34">
                  <c:v>Nov-12</c:v>
                </c:pt>
                <c:pt idx="35">
                  <c:v>Dec-12</c:v>
                </c:pt>
                <c:pt idx="36">
                  <c:v>Jan-13</c:v>
                </c:pt>
                <c:pt idx="37">
                  <c:v>Feb-13</c:v>
                </c:pt>
                <c:pt idx="38">
                  <c:v>Mar-13</c:v>
                </c:pt>
                <c:pt idx="39">
                  <c:v>Apr-13</c:v>
                </c:pt>
                <c:pt idx="40">
                  <c:v>May-13</c:v>
                </c:pt>
                <c:pt idx="41">
                  <c:v>Jun-13</c:v>
                </c:pt>
                <c:pt idx="42">
                  <c:v>Jul-13</c:v>
                </c:pt>
                <c:pt idx="43">
                  <c:v>Aug-13</c:v>
                </c:pt>
                <c:pt idx="44">
                  <c:v>Sept-13</c:v>
                </c:pt>
                <c:pt idx="45">
                  <c:v>Oct-13</c:v>
                </c:pt>
                <c:pt idx="46">
                  <c:v>Nov-13</c:v>
                </c:pt>
                <c:pt idx="47">
                  <c:v>Dec-13</c:v>
                </c:pt>
                <c:pt idx="48">
                  <c:v>Jan-14</c:v>
                </c:pt>
                <c:pt idx="49">
                  <c:v>Feb-14</c:v>
                </c:pt>
                <c:pt idx="50">
                  <c:v>Mar-14</c:v>
                </c:pt>
                <c:pt idx="51">
                  <c:v>Apr-14</c:v>
                </c:pt>
                <c:pt idx="52">
                  <c:v>May-14</c:v>
                </c:pt>
                <c:pt idx="53">
                  <c:v>Jun-14</c:v>
                </c:pt>
                <c:pt idx="54">
                  <c:v>Jul-14</c:v>
                </c:pt>
                <c:pt idx="55">
                  <c:v>Aug-14</c:v>
                </c:pt>
                <c:pt idx="56">
                  <c:v>Sept-14</c:v>
                </c:pt>
                <c:pt idx="57">
                  <c:v>Oct-14</c:v>
                </c:pt>
                <c:pt idx="58">
                  <c:v>Nov-14</c:v>
                </c:pt>
                <c:pt idx="59">
                  <c:v>Dec-14</c:v>
                </c:pt>
                <c:pt idx="60">
                  <c:v>Jan-15</c:v>
                </c:pt>
                <c:pt idx="61">
                  <c:v>Feb-15</c:v>
                </c:pt>
                <c:pt idx="62">
                  <c:v>Mar-15</c:v>
                </c:pt>
                <c:pt idx="63">
                  <c:v>Apr-15</c:v>
                </c:pt>
                <c:pt idx="64">
                  <c:v>May-15</c:v>
                </c:pt>
                <c:pt idx="65">
                  <c:v>Jun-15</c:v>
                </c:pt>
                <c:pt idx="66">
                  <c:v>Jul-15</c:v>
                </c:pt>
                <c:pt idx="67">
                  <c:v>Aug-15</c:v>
                </c:pt>
                <c:pt idx="68">
                  <c:v>Sept-15</c:v>
                </c:pt>
                <c:pt idx="69">
                  <c:v>Oct-15</c:v>
                </c:pt>
                <c:pt idx="70">
                  <c:v>Nov-15</c:v>
                </c:pt>
                <c:pt idx="71">
                  <c:v>Dec-15</c:v>
                </c:pt>
                <c:pt idx="72">
                  <c:v>Jan-16</c:v>
                </c:pt>
                <c:pt idx="73">
                  <c:v>Feb-16</c:v>
                </c:pt>
                <c:pt idx="74">
                  <c:v>Mar-16</c:v>
                </c:pt>
                <c:pt idx="75">
                  <c:v>Apr-16</c:v>
                </c:pt>
                <c:pt idx="76">
                  <c:v>May-16</c:v>
                </c:pt>
                <c:pt idx="77">
                  <c:v>Jun-16</c:v>
                </c:pt>
                <c:pt idx="78">
                  <c:v>Jul-16</c:v>
                </c:pt>
                <c:pt idx="79">
                  <c:v>Aug-16</c:v>
                </c:pt>
                <c:pt idx="80">
                  <c:v>Sept-16</c:v>
                </c:pt>
                <c:pt idx="81">
                  <c:v>Oct-16</c:v>
                </c:pt>
                <c:pt idx="82">
                  <c:v>Nov-16</c:v>
                </c:pt>
                <c:pt idx="83">
                  <c:v>Dec-16</c:v>
                </c:pt>
                <c:pt idx="84">
                  <c:v>Jan-17</c:v>
                </c:pt>
                <c:pt idx="85">
                  <c:v>Feb-17</c:v>
                </c:pt>
                <c:pt idx="86">
                  <c:v>Mar-17</c:v>
                </c:pt>
                <c:pt idx="87">
                  <c:v>Apr-17</c:v>
                </c:pt>
                <c:pt idx="88">
                  <c:v>May-17</c:v>
                </c:pt>
                <c:pt idx="89">
                  <c:v>Jun-17</c:v>
                </c:pt>
                <c:pt idx="90">
                  <c:v>Jul-17</c:v>
                </c:pt>
                <c:pt idx="91">
                  <c:v>Aug-17</c:v>
                </c:pt>
                <c:pt idx="92">
                  <c:v>Sept-17</c:v>
                </c:pt>
                <c:pt idx="93">
                  <c:v>Oct-17</c:v>
                </c:pt>
                <c:pt idx="94">
                  <c:v>Nov-17</c:v>
                </c:pt>
                <c:pt idx="95">
                  <c:v>Dec-17</c:v>
                </c:pt>
                <c:pt idx="96">
                  <c:v>Jan-18</c:v>
                </c:pt>
                <c:pt idx="97">
                  <c:v>Feb-18</c:v>
                </c:pt>
                <c:pt idx="98">
                  <c:v>Mar-18</c:v>
                </c:pt>
                <c:pt idx="99">
                  <c:v>Apr-18</c:v>
                </c:pt>
                <c:pt idx="100">
                  <c:v>May-18</c:v>
                </c:pt>
                <c:pt idx="101">
                  <c:v>Jun-18</c:v>
                </c:pt>
                <c:pt idx="102">
                  <c:v>Jul-18</c:v>
                </c:pt>
                <c:pt idx="103">
                  <c:v>Aug-18</c:v>
                </c:pt>
                <c:pt idx="104">
                  <c:v>Sept-18</c:v>
                </c:pt>
                <c:pt idx="105">
                  <c:v>Oct-18</c:v>
                </c:pt>
                <c:pt idx="106">
                  <c:v>Nov-18</c:v>
                </c:pt>
                <c:pt idx="107">
                  <c:v>Dec-18</c:v>
                </c:pt>
                <c:pt idx="108">
                  <c:v>Jan-19</c:v>
                </c:pt>
                <c:pt idx="109">
                  <c:v>Feb-19</c:v>
                </c:pt>
                <c:pt idx="110">
                  <c:v>Mar-19</c:v>
                </c:pt>
                <c:pt idx="111">
                  <c:v>Apr-19</c:v>
                </c:pt>
                <c:pt idx="112">
                  <c:v>May-19</c:v>
                </c:pt>
                <c:pt idx="113">
                  <c:v>Jun-19</c:v>
                </c:pt>
                <c:pt idx="114">
                  <c:v>Jul-19</c:v>
                </c:pt>
                <c:pt idx="115">
                  <c:v>Aug-19</c:v>
                </c:pt>
                <c:pt idx="116">
                  <c:v>Sept-19</c:v>
                </c:pt>
                <c:pt idx="117">
                  <c:v>Oct-19</c:v>
                </c:pt>
                <c:pt idx="118">
                  <c:v>Nov-19</c:v>
                </c:pt>
                <c:pt idx="119">
                  <c:v>Dec-19</c:v>
                </c:pt>
                <c:pt idx="120">
                  <c:v>Jan-20</c:v>
                </c:pt>
              </c:strCache>
            </c:strRef>
          </c:cat>
          <c:val>
            <c:numRef>
              <c:f>Sheet1!$B$2:$DR$2</c:f>
              <c:numCache>
                <c:formatCode>General</c:formatCode>
                <c:ptCount val="121"/>
                <c:pt idx="0">
                  <c:v>156</c:v>
                </c:pt>
                <c:pt idx="1">
                  <c:v>320</c:v>
                </c:pt>
                <c:pt idx="2">
                  <c:v>514</c:v>
                </c:pt>
                <c:pt idx="3">
                  <c:v>683</c:v>
                </c:pt>
                <c:pt idx="4">
                  <c:v>876</c:v>
                </c:pt>
                <c:pt idx="5">
                  <c:v>1132</c:v>
                </c:pt>
                <c:pt idx="6">
                  <c:v>1391</c:v>
                </c:pt>
                <c:pt idx="7">
                  <c:v>1773</c:v>
                </c:pt>
                <c:pt idx="8">
                  <c:v>2085</c:v>
                </c:pt>
                <c:pt idx="9">
                  <c:v>2470</c:v>
                </c:pt>
                <c:pt idx="10">
                  <c:v>2841</c:v>
                </c:pt>
                <c:pt idx="11">
                  <c:v>3130</c:v>
                </c:pt>
                <c:pt idx="12">
                  <c:v>3480</c:v>
                </c:pt>
                <c:pt idx="13">
                  <c:v>3830</c:v>
                </c:pt>
                <c:pt idx="14">
                  <c:v>4316</c:v>
                </c:pt>
                <c:pt idx="15">
                  <c:v>4780</c:v>
                </c:pt>
                <c:pt idx="16">
                  <c:v>5457</c:v>
                </c:pt>
                <c:pt idx="17">
                  <c:v>6213</c:v>
                </c:pt>
                <c:pt idx="18">
                  <c:v>7032</c:v>
                </c:pt>
                <c:pt idx="19">
                  <c:v>8050</c:v>
                </c:pt>
                <c:pt idx="20">
                  <c:v>8723</c:v>
                </c:pt>
                <c:pt idx="21">
                  <c:v>9462</c:v>
                </c:pt>
                <c:pt idx="22">
                  <c:v>10100</c:v>
                </c:pt>
                <c:pt idx="23">
                  <c:v>10783</c:v>
                </c:pt>
                <c:pt idx="24">
                  <c:v>11583</c:v>
                </c:pt>
                <c:pt idx="25">
                  <c:v>12443</c:v>
                </c:pt>
                <c:pt idx="26">
                  <c:v>13610</c:v>
                </c:pt>
                <c:pt idx="27">
                  <c:v>14954</c:v>
                </c:pt>
                <c:pt idx="28">
                  <c:v>16359</c:v>
                </c:pt>
                <c:pt idx="29">
                  <c:v>17490</c:v>
                </c:pt>
                <c:pt idx="30">
                  <c:v>18589</c:v>
                </c:pt>
                <c:pt idx="31">
                  <c:v>19594</c:v>
                </c:pt>
                <c:pt idx="32">
                  <c:v>20393</c:v>
                </c:pt>
                <c:pt idx="33">
                  <c:v>21389</c:v>
                </c:pt>
                <c:pt idx="34">
                  <c:v>22277</c:v>
                </c:pt>
                <c:pt idx="35">
                  <c:v>23213</c:v>
                </c:pt>
                <c:pt idx="36">
                  <c:v>24191</c:v>
                </c:pt>
                <c:pt idx="37">
                  <c:v>25022</c:v>
                </c:pt>
                <c:pt idx="38">
                  <c:v>25979</c:v>
                </c:pt>
                <c:pt idx="39">
                  <c:v>26743</c:v>
                </c:pt>
                <c:pt idx="40">
                  <c:v>27327</c:v>
                </c:pt>
                <c:pt idx="41">
                  <c:v>27955</c:v>
                </c:pt>
                <c:pt idx="42">
                  <c:v>28647</c:v>
                </c:pt>
                <c:pt idx="43">
                  <c:v>29306</c:v>
                </c:pt>
                <c:pt idx="44">
                  <c:v>30009</c:v>
                </c:pt>
                <c:pt idx="45">
                  <c:v>30923</c:v>
                </c:pt>
                <c:pt idx="46">
                  <c:v>31625</c:v>
                </c:pt>
                <c:pt idx="47">
                  <c:v>32482</c:v>
                </c:pt>
                <c:pt idx="48">
                  <c:v>33623</c:v>
                </c:pt>
                <c:pt idx="49">
                  <c:v>34540</c:v>
                </c:pt>
                <c:pt idx="50">
                  <c:v>35931</c:v>
                </c:pt>
                <c:pt idx="51">
                  <c:v>37306</c:v>
                </c:pt>
                <c:pt idx="52">
                  <c:v>38600</c:v>
                </c:pt>
                <c:pt idx="53">
                  <c:v>39915</c:v>
                </c:pt>
                <c:pt idx="54">
                  <c:v>41162</c:v>
                </c:pt>
                <c:pt idx="55">
                  <c:v>42370</c:v>
                </c:pt>
                <c:pt idx="56">
                  <c:v>43260</c:v>
                </c:pt>
                <c:pt idx="57">
                  <c:v>43817</c:v>
                </c:pt>
                <c:pt idx="58">
                  <c:v>44235</c:v>
                </c:pt>
                <c:pt idx="59">
                  <c:v>44720</c:v>
                </c:pt>
                <c:pt idx="60">
                  <c:v>45249</c:v>
                </c:pt>
                <c:pt idx="61">
                  <c:v>45771</c:v>
                </c:pt>
                <c:pt idx="62">
                  <c:v>46396</c:v>
                </c:pt>
                <c:pt idx="63">
                  <c:v>46993</c:v>
                </c:pt>
                <c:pt idx="64">
                  <c:v>47566</c:v>
                </c:pt>
                <c:pt idx="65">
                  <c:v>48501</c:v>
                </c:pt>
                <c:pt idx="66">
                  <c:v>49282</c:v>
                </c:pt>
                <c:pt idx="67">
                  <c:v>50230</c:v>
                </c:pt>
                <c:pt idx="68">
                  <c:v>50985</c:v>
                </c:pt>
                <c:pt idx="69">
                  <c:v>51761</c:v>
                </c:pt>
                <c:pt idx="70">
                  <c:v>52493</c:v>
                </c:pt>
                <c:pt idx="71">
                  <c:v>53251</c:v>
                </c:pt>
                <c:pt idx="72">
                  <c:v>54050</c:v>
                </c:pt>
                <c:pt idx="73">
                  <c:v>54817</c:v>
                </c:pt>
                <c:pt idx="74">
                  <c:v>55716</c:v>
                </c:pt>
                <c:pt idx="75">
                  <c:v>56466</c:v>
                </c:pt>
                <c:pt idx="76">
                  <c:v>57262</c:v>
                </c:pt>
                <c:pt idx="77">
                  <c:v>58016</c:v>
                </c:pt>
                <c:pt idx="78">
                  <c:v>58664</c:v>
                </c:pt>
                <c:pt idx="79">
                  <c:v>59230</c:v>
                </c:pt>
                <c:pt idx="80">
                  <c:v>59742</c:v>
                </c:pt>
                <c:pt idx="81">
                  <c:v>60113</c:v>
                </c:pt>
                <c:pt idx="82">
                  <c:v>60408</c:v>
                </c:pt>
                <c:pt idx="83">
                  <c:v>60673</c:v>
                </c:pt>
                <c:pt idx="84">
                  <c:v>60988</c:v>
                </c:pt>
                <c:pt idx="85">
                  <c:v>61248</c:v>
                </c:pt>
                <c:pt idx="86">
                  <c:v>61576</c:v>
                </c:pt>
                <c:pt idx="87">
                  <c:v>61840</c:v>
                </c:pt>
                <c:pt idx="88">
                  <c:v>62128</c:v>
                </c:pt>
                <c:pt idx="89">
                  <c:v>62516</c:v>
                </c:pt>
                <c:pt idx="90">
                  <c:v>62869</c:v>
                </c:pt>
                <c:pt idx="91">
                  <c:v>63179</c:v>
                </c:pt>
                <c:pt idx="92">
                  <c:v>63459</c:v>
                </c:pt>
                <c:pt idx="93">
                  <c:v>63846</c:v>
                </c:pt>
                <c:pt idx="94">
                  <c:v>64132</c:v>
                </c:pt>
                <c:pt idx="95">
                  <c:v>64365</c:v>
                </c:pt>
                <c:pt idx="96">
                  <c:v>64719</c:v>
                </c:pt>
                <c:pt idx="97">
                  <c:v>65083</c:v>
                </c:pt>
                <c:pt idx="98">
                  <c:v>65321</c:v>
                </c:pt>
                <c:pt idx="99">
                  <c:v>65550</c:v>
                </c:pt>
                <c:pt idx="100">
                  <c:v>65739</c:v>
                </c:pt>
                <c:pt idx="101">
                  <c:v>66044</c:v>
                </c:pt>
                <c:pt idx="102">
                  <c:v>66262</c:v>
                </c:pt>
                <c:pt idx="103">
                  <c:v>66609</c:v>
                </c:pt>
                <c:pt idx="104">
                  <c:v>66903</c:v>
                </c:pt>
                <c:pt idx="105">
                  <c:v>67326</c:v>
                </c:pt>
                <c:pt idx="106">
                  <c:v>67668</c:v>
                </c:pt>
                <c:pt idx="107">
                  <c:v>67989</c:v>
                </c:pt>
                <c:pt idx="108">
                  <c:v>68246</c:v>
                </c:pt>
                <c:pt idx="109">
                  <c:v>68557</c:v>
                </c:pt>
                <c:pt idx="110">
                  <c:v>68916</c:v>
                </c:pt>
                <c:pt idx="111">
                  <c:v>69269</c:v>
                </c:pt>
                <c:pt idx="112">
                  <c:v>69613</c:v>
                </c:pt>
                <c:pt idx="113">
                  <c:v>70019</c:v>
                </c:pt>
                <c:pt idx="114">
                  <c:v>70405</c:v>
                </c:pt>
                <c:pt idx="115">
                  <c:v>70788</c:v>
                </c:pt>
                <c:pt idx="116">
                  <c:v>71148</c:v>
                </c:pt>
                <c:pt idx="117">
                  <c:v>71522</c:v>
                </c:pt>
                <c:pt idx="118">
                  <c:v>71919</c:v>
                </c:pt>
                <c:pt idx="119">
                  <c:v>72388</c:v>
                </c:pt>
                <c:pt idx="120">
                  <c:v>72736</c:v>
                </c:pt>
              </c:numCache>
            </c:numRef>
          </c:val>
          <c:smooth val="0"/>
          <c:extLst>
            <c:ext xmlns:c16="http://schemas.microsoft.com/office/drawing/2014/chart" uri="{C3380CC4-5D6E-409C-BE32-E72D297353CC}">
              <c16:uniqueId val="{00000000-AEC9-E941-8BA8-475987ACB014}"/>
            </c:ext>
          </c:extLst>
        </c:ser>
        <c:dLbls>
          <c:showLegendKey val="0"/>
          <c:showVal val="0"/>
          <c:showCatName val="0"/>
          <c:showSerName val="0"/>
          <c:showPercent val="0"/>
          <c:showBubbleSize val="0"/>
        </c:dLbls>
        <c:smooth val="0"/>
        <c:axId val="313876096"/>
        <c:axId val="313876656"/>
      </c:lineChart>
      <c:catAx>
        <c:axId val="313876096"/>
        <c:scaling>
          <c:orientation val="minMax"/>
        </c:scaling>
        <c:delete val="0"/>
        <c:axPos val="b"/>
        <c:numFmt formatCode="General" sourceLinked="0"/>
        <c:majorTickMark val="none"/>
        <c:minorTickMark val="none"/>
        <c:tickLblPos val="low"/>
        <c:spPr>
          <a:ln w="12700" cap="flat">
            <a:noFill/>
            <a:prstDash val="solid"/>
            <a:miter lim="400000"/>
          </a:ln>
        </c:spPr>
        <c:txPr>
          <a:bodyPr rot="0"/>
          <a:lstStyle/>
          <a:p>
            <a:pPr>
              <a:defRPr sz="1000" b="0" i="0" u="none" strike="noStrike">
                <a:solidFill>
                  <a:srgbClr val="000000"/>
                </a:solidFill>
                <a:latin typeface="Calibri"/>
              </a:defRPr>
            </a:pPr>
            <a:endParaRPr lang="en-US"/>
          </a:p>
        </c:txPr>
        <c:crossAx val="313876656"/>
        <c:crosses val="autoZero"/>
        <c:auto val="1"/>
        <c:lblAlgn val="ctr"/>
        <c:lblOffset val="100"/>
        <c:noMultiLvlLbl val="1"/>
      </c:catAx>
      <c:valAx>
        <c:axId val="313876656"/>
        <c:scaling>
          <c:orientation val="minMax"/>
        </c:scaling>
        <c:delete val="0"/>
        <c:axPos val="l"/>
        <c:majorGridlines>
          <c:spPr>
            <a:ln w="12700" cap="flat">
              <a:solidFill>
                <a:srgbClr val="888888"/>
              </a:solidFill>
              <a:prstDash val="solid"/>
              <a:round/>
            </a:ln>
          </c:spPr>
        </c:majorGridlines>
        <c:numFmt formatCode="&quot; &quot;#,##0&quot; &quot;;&quot; '(&quot;#,##0\);&quot; '-&quot;??&quot; &quot;" sourceLinked="0"/>
        <c:majorTickMark val="none"/>
        <c:minorTickMark val="none"/>
        <c:tickLblPos val="nextTo"/>
        <c:spPr>
          <a:ln w="12700" cap="flat">
            <a:noFill/>
            <a:prstDash val="solid"/>
            <a:miter lim="400000"/>
          </a:ln>
        </c:spPr>
        <c:txPr>
          <a:bodyPr rot="0"/>
          <a:lstStyle/>
          <a:p>
            <a:pPr>
              <a:defRPr sz="1000" b="0" i="0" u="none" strike="noStrike">
                <a:solidFill>
                  <a:srgbClr val="000000"/>
                </a:solidFill>
                <a:latin typeface="Calibri"/>
              </a:defRPr>
            </a:pPr>
            <a:endParaRPr lang="en-US"/>
          </a:p>
        </c:txPr>
        <c:crossAx val="313876096"/>
        <c:crosses val="autoZero"/>
        <c:crossBetween val="between"/>
        <c:majorUnit val="20000"/>
        <c:minorUnit val="10000"/>
      </c:valAx>
      <c:spPr>
        <a:solidFill>
          <a:srgbClr val="FFFFFF"/>
        </a:solidFill>
        <a:ln w="12700" cap="flat">
          <a:noFill/>
          <a:miter lim="400000"/>
        </a:ln>
        <a:effectLst/>
      </c:spPr>
    </c:plotArea>
    <c:plotVisOnly val="1"/>
    <c:dispBlanksAs val="gap"/>
    <c:showDLblsOverMax val="1"/>
  </c:chart>
  <c:spPr>
    <a:solidFill>
      <a:srgbClr val="FFFFFF"/>
    </a:solidFill>
    <a:ln w="12700" cap="flat">
      <a:solidFill>
        <a:srgbClr val="888888"/>
      </a:solidFill>
      <a:prstDash val="solid"/>
      <a:round/>
    </a:ln>
    <a:effectLst/>
  </c:spPr>
  <c:externalData r:id="rId1">
    <c:autoUpdate val="0"/>
  </c:externalData>
</c:chartSpace>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390EB-52D7-9C4B-9987-BE528AD88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1317</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Action for Boston Community Development</Company>
  <LinksUpToDate>false</LinksUpToDate>
  <CharactersWithSpaces>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Roxanne Reddington-Wilde</dc:creator>
  <cp:lastModifiedBy>grace ross</cp:lastModifiedBy>
  <cp:revision>4</cp:revision>
  <dcterms:created xsi:type="dcterms:W3CDTF">2020-01-30T14:50:00Z</dcterms:created>
  <dcterms:modified xsi:type="dcterms:W3CDTF">2020-01-30T20:40:00Z</dcterms:modified>
</cp:coreProperties>
</file>